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Times New Roman" w:eastAsia="黑体" w:cs="Times New Roman"/>
          <w:b/>
          <w:sz w:val="52"/>
          <w:szCs w:val="52"/>
        </w:rPr>
      </w:pPr>
    </w:p>
    <w:p>
      <w:pPr>
        <w:jc w:val="center"/>
        <w:rPr>
          <w:rFonts w:ascii="黑体" w:hAnsi="Times New Roman" w:eastAsia="黑体" w:cs="Times New Roman"/>
          <w:b/>
          <w:sz w:val="52"/>
          <w:szCs w:val="52"/>
        </w:rPr>
      </w:pPr>
      <w:r>
        <w:rPr>
          <w:rFonts w:hint="eastAsia" w:ascii="黑体" w:hAnsi="Times New Roman" w:eastAsia="黑体" w:cs="Times New Roman"/>
          <w:b/>
          <w:sz w:val="52"/>
          <w:szCs w:val="52"/>
        </w:rPr>
        <w:t>朗县中学2021年度部门决算</w:t>
      </w:r>
    </w:p>
    <w:p>
      <w:pPr>
        <w:jc w:val="center"/>
        <w:rPr>
          <w:rFonts w:ascii="仿宋" w:hAnsi="仿宋" w:eastAsia="仿宋" w:cs="仿宋"/>
        </w:rPr>
      </w:pPr>
    </w:p>
    <w:p>
      <w:pPr>
        <w:rPr>
          <w:rFonts w:ascii="仿宋" w:hAnsi="仿宋" w:eastAsia="仿宋" w:cs="仿宋"/>
        </w:rPr>
      </w:pPr>
    </w:p>
    <w:p>
      <w:pPr>
        <w:rPr>
          <w:rFonts w:ascii="仿宋" w:hAnsi="仿宋" w:eastAsia="仿宋" w:cs="仿宋"/>
        </w:rPr>
      </w:pPr>
    </w:p>
    <w:p>
      <w:pPr>
        <w:rPr>
          <w:rFonts w:ascii="仿宋" w:hAnsi="仿宋" w:eastAsia="仿宋" w:cs="仿宋"/>
        </w:rPr>
      </w:pPr>
    </w:p>
    <w:p>
      <w:pPr>
        <w:rPr>
          <w:rFonts w:ascii="仿宋" w:hAnsi="仿宋" w:eastAsia="仿宋" w:cs="仿宋"/>
        </w:rPr>
      </w:pPr>
    </w:p>
    <w:p>
      <w:pPr>
        <w:rPr>
          <w:rFonts w:ascii="仿宋" w:hAnsi="仿宋" w:eastAsia="仿宋" w:cs="仿宋"/>
        </w:rPr>
      </w:pPr>
    </w:p>
    <w:p>
      <w:pPr>
        <w:rPr>
          <w:rFonts w:ascii="仿宋" w:hAnsi="仿宋" w:eastAsia="仿宋" w:cs="仿宋"/>
        </w:rPr>
      </w:pPr>
    </w:p>
    <w:p>
      <w:pPr>
        <w:jc w:val="center"/>
        <w:rPr>
          <w:rFonts w:ascii="宋体" w:hAnsi="宋体" w:eastAsia="宋体" w:cs="Times New Roman"/>
          <w:sz w:val="32"/>
          <w:szCs w:val="32"/>
          <w:u w:val="single"/>
        </w:rPr>
      </w:pPr>
      <w:r>
        <w:rPr>
          <w:rFonts w:hint="eastAsia" w:ascii="宋体" w:hAnsi="宋体" w:eastAsia="宋体" w:cs="Times New Roman"/>
          <w:sz w:val="32"/>
          <w:szCs w:val="32"/>
          <w:u w:val="single"/>
        </w:rPr>
        <w:t>2022年  9  月 29 日</w:t>
      </w:r>
    </w:p>
    <w:p>
      <w:pPr>
        <w:ind w:firstLine="1920" w:firstLineChars="600"/>
        <w:rPr>
          <w:rFonts w:ascii="宋体" w:hAnsi="宋体" w:eastAsia="宋体" w:cs="Times New Roman"/>
          <w:sz w:val="32"/>
          <w:szCs w:val="32"/>
          <w:u w:val="single"/>
        </w:rPr>
      </w:pPr>
    </w:p>
    <w:p>
      <w:pPr>
        <w:ind w:firstLine="1920" w:firstLineChars="600"/>
        <w:jc w:val="center"/>
        <w:rPr>
          <w:rFonts w:ascii="宋体" w:hAnsi="宋体" w:eastAsia="宋体" w:cs="Times New Roman"/>
          <w:sz w:val="32"/>
          <w:szCs w:val="32"/>
          <w:u w:val="single"/>
        </w:rPr>
      </w:pPr>
    </w:p>
    <w:p>
      <w:pPr>
        <w:ind w:firstLine="1920" w:firstLineChars="600"/>
        <w:rPr>
          <w:rFonts w:ascii="宋体" w:hAnsi="宋体" w:eastAsia="宋体" w:cs="Times New Roman"/>
          <w:sz w:val="32"/>
          <w:szCs w:val="32"/>
          <w:u w:val="single"/>
        </w:rPr>
      </w:pPr>
    </w:p>
    <w:p>
      <w:pPr>
        <w:rPr>
          <w:rFonts w:ascii="仿宋" w:hAnsi="仿宋" w:eastAsia="仿宋" w:cs="仿宋"/>
          <w:sz w:val="28"/>
          <w:szCs w:val="28"/>
        </w:rPr>
      </w:pPr>
    </w:p>
    <w:p>
      <w:pPr>
        <w:jc w:val="center"/>
        <w:rPr>
          <w:rFonts w:ascii="宋体" w:hAnsi="宋体" w:eastAsia="宋体" w:cs="Times New Roman"/>
          <w:b/>
          <w:sz w:val="40"/>
          <w:szCs w:val="40"/>
        </w:rPr>
      </w:pPr>
      <w:r>
        <w:rPr>
          <w:rFonts w:hint="eastAsia" w:ascii="宋体" w:hAnsi="宋体" w:eastAsia="宋体" w:cs="Times New Roman"/>
          <w:b/>
          <w:sz w:val="40"/>
          <w:szCs w:val="40"/>
        </w:rPr>
        <w:t>目  录</w:t>
      </w:r>
    </w:p>
    <w:p>
      <w:pPr>
        <w:spacing w:beforeLines="100" w:afterLines="100" w:line="460" w:lineRule="exact"/>
        <w:rPr>
          <w:rFonts w:ascii="黑体" w:hAnsi="宋体" w:eastAsia="黑体" w:cs="Times New Roman"/>
          <w:sz w:val="32"/>
          <w:szCs w:val="32"/>
        </w:rPr>
      </w:pPr>
      <w:r>
        <w:rPr>
          <w:rFonts w:hint="eastAsia" w:ascii="黑体" w:hAnsi="宋体" w:eastAsia="黑体" w:cs="Times New Roman"/>
          <w:sz w:val="32"/>
          <w:szCs w:val="32"/>
        </w:rPr>
        <w:t>第一部分  朗县中学部门概况</w:t>
      </w:r>
    </w:p>
    <w:p>
      <w:pPr>
        <w:spacing w:beforeLines="100" w:afterLines="100" w:line="460" w:lineRule="exact"/>
        <w:rPr>
          <w:rFonts w:ascii="方正楷体简体" w:hAnsi="宋体" w:eastAsia="方正楷体简体" w:cs="Times New Roman"/>
          <w:sz w:val="32"/>
          <w:szCs w:val="32"/>
        </w:rPr>
      </w:pPr>
      <w:r>
        <w:rPr>
          <w:rFonts w:hint="eastAsia" w:ascii="方正楷体简体" w:hAnsi="宋体" w:eastAsia="方正楷体简体" w:cs="Times New Roman"/>
          <w:sz w:val="32"/>
          <w:szCs w:val="32"/>
        </w:rPr>
        <w:t>一、部门决算单位构成</w:t>
      </w:r>
    </w:p>
    <w:p>
      <w:pPr>
        <w:spacing w:beforeLines="100" w:afterLines="100" w:line="460" w:lineRule="exact"/>
        <w:rPr>
          <w:rFonts w:ascii="方正楷体简体" w:hAnsi="宋体" w:eastAsia="方正楷体简体" w:cs="Times New Roman"/>
          <w:sz w:val="32"/>
          <w:szCs w:val="32"/>
        </w:rPr>
      </w:pPr>
      <w:r>
        <w:rPr>
          <w:rFonts w:hint="eastAsia" w:ascii="方正楷体简体" w:hAnsi="宋体" w:eastAsia="方正楷体简体" w:cs="Times New Roman"/>
          <w:sz w:val="32"/>
          <w:szCs w:val="32"/>
        </w:rPr>
        <w:t>二、部门职责和机构设置</w:t>
      </w:r>
    </w:p>
    <w:p>
      <w:pPr>
        <w:spacing w:beforeLines="100" w:afterLines="100" w:line="460" w:lineRule="exact"/>
        <w:rPr>
          <w:rFonts w:ascii="黑体" w:hAnsi="宋体" w:eastAsia="黑体" w:cs="Times New Roman"/>
          <w:sz w:val="32"/>
          <w:szCs w:val="32"/>
        </w:rPr>
      </w:pPr>
      <w:r>
        <w:rPr>
          <w:rFonts w:hint="eastAsia" w:ascii="黑体" w:hAnsi="宋体" w:eastAsia="黑体" w:cs="Times New Roman"/>
          <w:sz w:val="32"/>
          <w:szCs w:val="32"/>
        </w:rPr>
        <w:t>第二部分  朗县中学2021年度部门决算明细表</w:t>
      </w:r>
    </w:p>
    <w:p>
      <w:pPr>
        <w:spacing w:beforeLines="100" w:afterLines="100" w:line="460" w:lineRule="exact"/>
        <w:rPr>
          <w:rFonts w:ascii="方正楷体简体" w:hAnsi="宋体" w:eastAsia="方正楷体简体" w:cs="Times New Roman"/>
          <w:sz w:val="32"/>
          <w:szCs w:val="32"/>
        </w:rPr>
      </w:pPr>
      <w:r>
        <w:rPr>
          <w:rFonts w:hint="eastAsia" w:ascii="方正楷体简体" w:hAnsi="宋体" w:eastAsia="方正楷体简体" w:cs="Times New Roman"/>
          <w:sz w:val="32"/>
          <w:szCs w:val="32"/>
        </w:rPr>
        <w:t>一、收支决算总表</w:t>
      </w:r>
    </w:p>
    <w:p>
      <w:pPr>
        <w:spacing w:beforeLines="100" w:afterLines="100" w:line="460" w:lineRule="exact"/>
        <w:rPr>
          <w:rFonts w:ascii="方正楷体简体" w:hAnsi="宋体" w:eastAsia="方正楷体简体" w:cs="Times New Roman"/>
          <w:sz w:val="32"/>
          <w:szCs w:val="32"/>
        </w:rPr>
      </w:pPr>
      <w:r>
        <w:rPr>
          <w:rFonts w:hint="eastAsia" w:ascii="方正楷体简体" w:hAnsi="宋体" w:eastAsia="方正楷体简体" w:cs="Times New Roman"/>
          <w:sz w:val="32"/>
          <w:szCs w:val="32"/>
        </w:rPr>
        <w:t>二、收入决算总表</w:t>
      </w:r>
    </w:p>
    <w:p>
      <w:pPr>
        <w:spacing w:beforeLines="100" w:afterLines="100" w:line="460" w:lineRule="exact"/>
        <w:rPr>
          <w:rFonts w:ascii="方正楷体简体" w:hAnsi="宋体" w:eastAsia="方正楷体简体" w:cs="Times New Roman"/>
          <w:sz w:val="32"/>
          <w:szCs w:val="32"/>
        </w:rPr>
      </w:pPr>
      <w:r>
        <w:rPr>
          <w:rFonts w:hint="eastAsia" w:ascii="方正楷体简体" w:hAnsi="宋体" w:eastAsia="方正楷体简体" w:cs="Times New Roman"/>
          <w:sz w:val="32"/>
          <w:szCs w:val="32"/>
        </w:rPr>
        <w:t>三、支出决算总表</w:t>
      </w:r>
    </w:p>
    <w:p>
      <w:pPr>
        <w:spacing w:beforeLines="100" w:afterLines="100" w:line="460" w:lineRule="exact"/>
        <w:rPr>
          <w:rFonts w:ascii="方正楷体简体" w:hAnsi="宋体" w:eastAsia="方正楷体简体" w:cs="Times New Roman"/>
          <w:sz w:val="32"/>
          <w:szCs w:val="32"/>
        </w:rPr>
      </w:pPr>
      <w:r>
        <w:rPr>
          <w:rFonts w:hint="eastAsia" w:ascii="方正楷体简体" w:hAnsi="宋体" w:eastAsia="方正楷体简体" w:cs="Times New Roman"/>
          <w:sz w:val="32"/>
          <w:szCs w:val="32"/>
        </w:rPr>
        <w:t>四、财政拨款收支决算总表</w:t>
      </w:r>
    </w:p>
    <w:p>
      <w:pPr>
        <w:spacing w:beforeLines="100" w:afterLines="100" w:line="460" w:lineRule="exact"/>
        <w:rPr>
          <w:rFonts w:ascii="方正楷体简体" w:hAnsi="宋体" w:eastAsia="方正楷体简体" w:cs="Times New Roman"/>
          <w:sz w:val="32"/>
          <w:szCs w:val="32"/>
        </w:rPr>
      </w:pPr>
      <w:r>
        <w:rPr>
          <w:rFonts w:hint="eastAsia" w:ascii="方正楷体简体" w:hAnsi="宋体" w:eastAsia="方正楷体简体" w:cs="Times New Roman"/>
          <w:sz w:val="32"/>
          <w:szCs w:val="32"/>
        </w:rPr>
        <w:t>五、一般公共预算财政拨款支出决算表</w:t>
      </w:r>
    </w:p>
    <w:p>
      <w:pPr>
        <w:spacing w:beforeLines="100" w:afterLines="100" w:line="460" w:lineRule="exact"/>
        <w:rPr>
          <w:rFonts w:ascii="方正楷体简体" w:hAnsi="宋体" w:eastAsia="方正楷体简体" w:cs="Times New Roman"/>
          <w:sz w:val="32"/>
          <w:szCs w:val="32"/>
        </w:rPr>
      </w:pPr>
      <w:r>
        <w:rPr>
          <w:rFonts w:hint="eastAsia" w:ascii="方正楷体简体" w:hAnsi="宋体" w:eastAsia="方正楷体简体" w:cs="Times New Roman"/>
          <w:sz w:val="32"/>
          <w:szCs w:val="32"/>
        </w:rPr>
        <w:t>六、一般公共预算财政拨款基本支出决算表</w:t>
      </w:r>
    </w:p>
    <w:p>
      <w:pPr>
        <w:spacing w:beforeLines="100" w:afterLines="100" w:line="460" w:lineRule="exact"/>
        <w:rPr>
          <w:rFonts w:ascii="方正楷体简体" w:hAnsi="宋体" w:eastAsia="方正楷体简体" w:cs="Times New Roman"/>
          <w:sz w:val="32"/>
          <w:szCs w:val="32"/>
        </w:rPr>
      </w:pPr>
      <w:r>
        <w:rPr>
          <w:rFonts w:hint="eastAsia" w:ascii="方正楷体简体" w:hAnsi="宋体" w:eastAsia="方正楷体简体" w:cs="Times New Roman"/>
          <w:sz w:val="32"/>
          <w:szCs w:val="32"/>
        </w:rPr>
        <w:t>七、一般公共预算相关经费支出决算表</w:t>
      </w:r>
    </w:p>
    <w:p>
      <w:pPr>
        <w:spacing w:beforeLines="100" w:afterLines="100" w:line="460" w:lineRule="exact"/>
        <w:rPr>
          <w:rFonts w:ascii="方正楷体简体" w:hAnsi="宋体" w:eastAsia="方正楷体简体" w:cs="Times New Roman"/>
          <w:sz w:val="32"/>
          <w:szCs w:val="32"/>
        </w:rPr>
      </w:pPr>
      <w:r>
        <w:rPr>
          <w:rFonts w:hint="eastAsia" w:ascii="方正楷体简体" w:hAnsi="宋体" w:eastAsia="方正楷体简体" w:cs="Times New Roman"/>
          <w:sz w:val="32"/>
          <w:szCs w:val="32"/>
        </w:rPr>
        <w:t>八、政府性基金预算财政拨款收支决算表</w:t>
      </w:r>
    </w:p>
    <w:p>
      <w:pPr>
        <w:spacing w:beforeLines="100" w:afterLines="100" w:line="460" w:lineRule="exact"/>
        <w:rPr>
          <w:rFonts w:ascii="黑体" w:hAnsi="宋体" w:eastAsia="黑体" w:cs="Times New Roman"/>
          <w:sz w:val="32"/>
          <w:szCs w:val="32"/>
        </w:rPr>
      </w:pPr>
      <w:r>
        <w:rPr>
          <w:rFonts w:hint="eastAsia" w:ascii="黑体" w:hAnsi="宋体" w:eastAsia="黑体" w:cs="Times New Roman"/>
          <w:sz w:val="32"/>
          <w:szCs w:val="32"/>
        </w:rPr>
        <w:t>第三部分  朗县中学2021年度部门决算情况说明</w:t>
      </w:r>
    </w:p>
    <w:p>
      <w:pPr>
        <w:spacing w:beforeLines="100" w:afterLines="100" w:line="460" w:lineRule="exact"/>
        <w:rPr>
          <w:rFonts w:ascii="黑体" w:hAnsi="宋体" w:eastAsia="黑体" w:cs="Times New Roman"/>
          <w:sz w:val="32"/>
          <w:szCs w:val="32"/>
        </w:rPr>
      </w:pPr>
      <w:r>
        <w:rPr>
          <w:rFonts w:hint="eastAsia" w:ascii="黑体" w:hAnsi="宋体" w:eastAsia="黑体" w:cs="Times New Roman"/>
          <w:sz w:val="32"/>
          <w:szCs w:val="32"/>
        </w:rPr>
        <w:t>第四部分  名词解释</w:t>
      </w:r>
    </w:p>
    <w:p>
      <w:pPr>
        <w:spacing w:line="460" w:lineRule="exact"/>
        <w:rPr>
          <w:rFonts w:ascii="仿宋" w:hAnsi="仿宋" w:eastAsia="仿宋" w:cs="仿宋"/>
          <w:sz w:val="28"/>
          <w:szCs w:val="28"/>
        </w:rPr>
      </w:pPr>
    </w:p>
    <w:p>
      <w:pPr>
        <w:spacing w:line="460" w:lineRule="exact"/>
        <w:rPr>
          <w:rFonts w:ascii="黑体" w:hAnsi="宋体" w:eastAsia="黑体" w:cs="Times New Roman"/>
          <w:sz w:val="48"/>
          <w:szCs w:val="48"/>
        </w:rPr>
      </w:pPr>
    </w:p>
    <w:p>
      <w:pPr>
        <w:spacing w:line="460" w:lineRule="exact"/>
        <w:jc w:val="center"/>
        <w:rPr>
          <w:rFonts w:ascii="黑体" w:hAnsi="宋体" w:eastAsia="黑体" w:cs="Times New Roman"/>
          <w:sz w:val="48"/>
          <w:szCs w:val="48"/>
        </w:rPr>
      </w:pPr>
    </w:p>
    <w:p>
      <w:pPr>
        <w:spacing w:line="460" w:lineRule="exact"/>
        <w:jc w:val="center"/>
        <w:rPr>
          <w:rFonts w:ascii="黑体" w:hAnsi="宋体" w:eastAsia="黑体" w:cs="Times New Roman"/>
          <w:sz w:val="48"/>
          <w:szCs w:val="48"/>
        </w:rPr>
      </w:pPr>
    </w:p>
    <w:p>
      <w:pPr>
        <w:spacing w:line="460" w:lineRule="exact"/>
        <w:jc w:val="center"/>
        <w:rPr>
          <w:rFonts w:ascii="黑体" w:hAnsi="宋体" w:eastAsia="黑体" w:cs="Times New Roman"/>
          <w:sz w:val="48"/>
          <w:szCs w:val="48"/>
        </w:rPr>
      </w:pPr>
    </w:p>
    <w:p>
      <w:pPr>
        <w:spacing w:line="460" w:lineRule="exact"/>
        <w:jc w:val="center"/>
        <w:rPr>
          <w:rFonts w:ascii="黑体" w:hAnsi="宋体" w:eastAsia="黑体" w:cs="Times New Roman"/>
          <w:sz w:val="48"/>
          <w:szCs w:val="48"/>
        </w:rPr>
      </w:pPr>
    </w:p>
    <w:p>
      <w:pPr>
        <w:spacing w:line="460" w:lineRule="exact"/>
        <w:jc w:val="center"/>
        <w:rPr>
          <w:rFonts w:ascii="黑体" w:hAnsi="宋体" w:eastAsia="黑体" w:cs="Times New Roman"/>
          <w:sz w:val="48"/>
          <w:szCs w:val="48"/>
        </w:rPr>
      </w:pPr>
    </w:p>
    <w:p>
      <w:pPr>
        <w:spacing w:line="460" w:lineRule="exact"/>
        <w:jc w:val="center"/>
        <w:rPr>
          <w:rFonts w:ascii="黑体" w:hAnsi="宋体" w:eastAsia="黑体" w:cs="Times New Roman"/>
          <w:sz w:val="48"/>
          <w:szCs w:val="48"/>
        </w:rPr>
      </w:pPr>
    </w:p>
    <w:p>
      <w:pPr>
        <w:spacing w:line="460" w:lineRule="exact"/>
        <w:jc w:val="center"/>
        <w:rPr>
          <w:rFonts w:ascii="黑体" w:hAnsi="宋体" w:eastAsia="黑体" w:cs="Times New Roman"/>
          <w:sz w:val="48"/>
          <w:szCs w:val="48"/>
        </w:rPr>
      </w:pPr>
    </w:p>
    <w:p>
      <w:pPr>
        <w:spacing w:line="460" w:lineRule="exact"/>
        <w:rPr>
          <w:rFonts w:ascii="黑体" w:hAnsi="宋体" w:eastAsia="黑体" w:cs="Times New Roman"/>
          <w:sz w:val="48"/>
          <w:szCs w:val="48"/>
        </w:rPr>
      </w:pPr>
    </w:p>
    <w:p>
      <w:pPr>
        <w:spacing w:line="460" w:lineRule="exact"/>
        <w:jc w:val="center"/>
        <w:rPr>
          <w:rFonts w:ascii="黑体" w:hAnsi="宋体" w:eastAsia="黑体" w:cs="Times New Roman"/>
          <w:sz w:val="48"/>
          <w:szCs w:val="48"/>
        </w:rPr>
      </w:pPr>
    </w:p>
    <w:p>
      <w:pPr>
        <w:spacing w:line="460" w:lineRule="exact"/>
        <w:jc w:val="center"/>
        <w:rPr>
          <w:rFonts w:ascii="黑体" w:hAnsi="宋体" w:eastAsia="黑体" w:cs="Times New Roman"/>
          <w:sz w:val="48"/>
          <w:szCs w:val="48"/>
        </w:rPr>
      </w:pPr>
    </w:p>
    <w:p>
      <w:pPr>
        <w:spacing w:line="460" w:lineRule="exact"/>
        <w:jc w:val="center"/>
        <w:rPr>
          <w:rFonts w:ascii="黑体" w:hAnsi="宋体" w:eastAsia="黑体" w:cs="Times New Roman"/>
          <w:sz w:val="48"/>
          <w:szCs w:val="48"/>
        </w:rPr>
      </w:pPr>
    </w:p>
    <w:p>
      <w:pPr>
        <w:spacing w:line="460" w:lineRule="exact"/>
        <w:jc w:val="center"/>
        <w:rPr>
          <w:rFonts w:hint="eastAsia" w:ascii="黑体" w:hAnsi="宋体" w:eastAsia="黑体" w:cs="Times New Roman"/>
          <w:sz w:val="48"/>
          <w:szCs w:val="48"/>
        </w:rPr>
      </w:pPr>
    </w:p>
    <w:p>
      <w:pPr>
        <w:spacing w:line="460" w:lineRule="exact"/>
        <w:jc w:val="center"/>
        <w:rPr>
          <w:rFonts w:hint="eastAsia" w:ascii="黑体" w:hAnsi="宋体" w:eastAsia="黑体" w:cs="Times New Roman"/>
          <w:sz w:val="48"/>
          <w:szCs w:val="48"/>
        </w:rPr>
      </w:pPr>
    </w:p>
    <w:p>
      <w:pPr>
        <w:spacing w:line="460" w:lineRule="exact"/>
        <w:jc w:val="center"/>
        <w:rPr>
          <w:rFonts w:hint="eastAsia" w:ascii="黑体" w:hAnsi="宋体" w:eastAsia="黑体" w:cs="Times New Roman"/>
          <w:sz w:val="48"/>
          <w:szCs w:val="48"/>
        </w:rPr>
      </w:pPr>
    </w:p>
    <w:p>
      <w:pPr>
        <w:spacing w:line="460" w:lineRule="exact"/>
        <w:jc w:val="center"/>
        <w:rPr>
          <w:rFonts w:hint="eastAsia" w:ascii="黑体" w:hAnsi="宋体" w:eastAsia="黑体" w:cs="Times New Roman"/>
          <w:sz w:val="48"/>
          <w:szCs w:val="48"/>
        </w:rPr>
      </w:pPr>
    </w:p>
    <w:p>
      <w:pPr>
        <w:spacing w:line="460" w:lineRule="exact"/>
        <w:jc w:val="center"/>
        <w:rPr>
          <w:rFonts w:hint="eastAsia" w:ascii="黑体" w:hAnsi="宋体" w:eastAsia="黑体" w:cs="Times New Roman"/>
          <w:sz w:val="48"/>
          <w:szCs w:val="48"/>
        </w:rPr>
      </w:pPr>
    </w:p>
    <w:p>
      <w:pPr>
        <w:spacing w:line="460" w:lineRule="exact"/>
        <w:jc w:val="center"/>
        <w:rPr>
          <w:rFonts w:hint="eastAsia" w:ascii="黑体" w:hAnsi="宋体" w:eastAsia="黑体" w:cs="Times New Roman"/>
          <w:sz w:val="48"/>
          <w:szCs w:val="48"/>
        </w:rPr>
      </w:pPr>
    </w:p>
    <w:p>
      <w:pPr>
        <w:spacing w:line="460" w:lineRule="exact"/>
        <w:jc w:val="center"/>
        <w:rPr>
          <w:rFonts w:hint="eastAsia" w:ascii="黑体" w:hAnsi="宋体" w:eastAsia="黑体" w:cs="Times New Roman"/>
          <w:sz w:val="48"/>
          <w:szCs w:val="48"/>
        </w:rPr>
      </w:pPr>
    </w:p>
    <w:p>
      <w:pPr>
        <w:spacing w:line="460" w:lineRule="exact"/>
        <w:jc w:val="center"/>
        <w:rPr>
          <w:rFonts w:ascii="黑体" w:hAnsi="宋体" w:eastAsia="黑体" w:cs="Times New Roman"/>
          <w:sz w:val="48"/>
          <w:szCs w:val="48"/>
        </w:rPr>
      </w:pPr>
      <w:r>
        <w:rPr>
          <w:rFonts w:hint="eastAsia" w:ascii="黑体" w:hAnsi="宋体" w:eastAsia="黑体" w:cs="Times New Roman"/>
          <w:sz w:val="48"/>
          <w:szCs w:val="48"/>
        </w:rPr>
        <w:t xml:space="preserve">第一部分   </w:t>
      </w:r>
    </w:p>
    <w:p>
      <w:pPr>
        <w:spacing w:line="460" w:lineRule="exact"/>
        <w:jc w:val="center"/>
        <w:rPr>
          <w:rFonts w:ascii="黑体" w:hAnsi="宋体" w:eastAsia="黑体" w:cs="Times New Roman"/>
          <w:sz w:val="48"/>
          <w:szCs w:val="48"/>
        </w:rPr>
      </w:pPr>
    </w:p>
    <w:p>
      <w:pPr>
        <w:spacing w:line="460" w:lineRule="exact"/>
        <w:jc w:val="center"/>
        <w:rPr>
          <w:rFonts w:ascii="黑体" w:hAnsi="宋体" w:eastAsia="黑体" w:cs="Times New Roman"/>
          <w:sz w:val="48"/>
          <w:szCs w:val="48"/>
        </w:rPr>
      </w:pPr>
      <w:r>
        <w:rPr>
          <w:rFonts w:hint="eastAsia" w:ascii="黑体" w:hAnsi="宋体" w:eastAsia="黑体" w:cs="Times New Roman"/>
          <w:sz w:val="48"/>
          <w:szCs w:val="48"/>
        </w:rPr>
        <w:t>朗县中学（部门）概况</w:t>
      </w:r>
    </w:p>
    <w:p>
      <w:pPr>
        <w:spacing w:line="460" w:lineRule="exact"/>
        <w:jc w:val="center"/>
        <w:rPr>
          <w:rFonts w:ascii="黑体" w:hAnsi="宋体" w:eastAsia="黑体" w:cs="Times New Roman"/>
          <w:sz w:val="48"/>
          <w:szCs w:val="48"/>
        </w:rPr>
      </w:pPr>
    </w:p>
    <w:p>
      <w:pPr>
        <w:spacing w:line="460" w:lineRule="exact"/>
        <w:jc w:val="center"/>
        <w:rPr>
          <w:rFonts w:ascii="黑体" w:hAnsi="宋体" w:eastAsia="黑体" w:cs="Times New Roman"/>
          <w:sz w:val="48"/>
          <w:szCs w:val="48"/>
        </w:rPr>
      </w:pPr>
    </w:p>
    <w:p>
      <w:pPr>
        <w:spacing w:line="460" w:lineRule="exact"/>
        <w:jc w:val="center"/>
        <w:rPr>
          <w:rFonts w:ascii="黑体" w:hAnsi="宋体" w:eastAsia="黑体" w:cs="Times New Roman"/>
          <w:sz w:val="48"/>
          <w:szCs w:val="48"/>
        </w:rPr>
      </w:pPr>
    </w:p>
    <w:p>
      <w:pPr>
        <w:spacing w:line="460" w:lineRule="exact"/>
        <w:jc w:val="center"/>
        <w:rPr>
          <w:rFonts w:ascii="黑体" w:hAnsi="宋体" w:eastAsia="黑体" w:cs="Times New Roman"/>
          <w:sz w:val="48"/>
          <w:szCs w:val="48"/>
        </w:rPr>
      </w:pPr>
    </w:p>
    <w:p>
      <w:pPr>
        <w:spacing w:line="460" w:lineRule="exact"/>
        <w:jc w:val="center"/>
        <w:rPr>
          <w:rFonts w:ascii="黑体" w:hAnsi="宋体" w:eastAsia="黑体" w:cs="Times New Roman"/>
          <w:sz w:val="48"/>
          <w:szCs w:val="48"/>
        </w:rPr>
      </w:pPr>
    </w:p>
    <w:p>
      <w:pPr>
        <w:spacing w:line="460" w:lineRule="exact"/>
        <w:jc w:val="center"/>
        <w:rPr>
          <w:rFonts w:ascii="黑体" w:hAnsi="宋体" w:eastAsia="黑体" w:cs="Times New Roman"/>
          <w:sz w:val="48"/>
          <w:szCs w:val="48"/>
        </w:rPr>
      </w:pPr>
    </w:p>
    <w:p>
      <w:pPr>
        <w:spacing w:line="460" w:lineRule="exact"/>
        <w:rPr>
          <w:rFonts w:ascii="黑体" w:hAnsi="宋体" w:eastAsia="黑体" w:cs="Times New Roman"/>
          <w:sz w:val="48"/>
          <w:szCs w:val="48"/>
        </w:rPr>
      </w:pPr>
    </w:p>
    <w:p>
      <w:pPr>
        <w:spacing w:line="460" w:lineRule="exact"/>
        <w:rPr>
          <w:rFonts w:ascii="黑体" w:hAnsi="宋体" w:eastAsia="黑体" w:cs="Times New Roman"/>
          <w:sz w:val="48"/>
          <w:szCs w:val="48"/>
        </w:rPr>
      </w:pPr>
    </w:p>
    <w:p>
      <w:pPr>
        <w:ind w:firstLine="643" w:firstLineChars="200"/>
        <w:rPr>
          <w:rFonts w:hint="eastAsia" w:ascii="方正仿宋简体" w:hAnsi="Times New Roman" w:eastAsia="方正仿宋简体" w:cs="Times New Roman"/>
          <w:sz w:val="32"/>
          <w:szCs w:val="32"/>
        </w:rPr>
      </w:pPr>
      <w:r>
        <w:rPr>
          <w:rFonts w:hint="eastAsia" w:ascii="黑体" w:hAnsi="黑体" w:eastAsia="黑体" w:cs="仿宋_GB2312"/>
          <w:b/>
          <w:sz w:val="32"/>
          <w:szCs w:val="32"/>
        </w:rPr>
        <w:t>一、部门决算单位构成</w:t>
      </w:r>
      <w:r>
        <w:rPr>
          <w:rFonts w:hint="eastAsia" w:ascii="黑体" w:hAnsi="黑体" w:eastAsia="黑体" w:cs="仿宋_GB2312"/>
          <w:b/>
          <w:sz w:val="32"/>
          <w:szCs w:val="32"/>
        </w:rPr>
        <w:br w:type="textWrapping"/>
      </w:r>
      <w:r>
        <w:rPr>
          <w:rFonts w:hint="eastAsia" w:ascii="黑体" w:hAnsi="黑体" w:eastAsia="黑体" w:cs="仿宋"/>
          <w:b/>
          <w:sz w:val="32"/>
          <w:szCs w:val="32"/>
        </w:rPr>
        <w:t xml:space="preserve">   </w:t>
      </w:r>
      <w:r>
        <w:rPr>
          <w:rFonts w:hint="eastAsia" w:ascii="方正仿宋简体" w:eastAsia="方正仿宋简体"/>
          <w:sz w:val="32"/>
          <w:szCs w:val="32"/>
          <w:lang w:val="en-US" w:eastAsia="zh-CN"/>
        </w:rPr>
        <w:t xml:space="preserve"> 纳入朗</w:t>
      </w:r>
      <w:r>
        <w:rPr>
          <w:rFonts w:hint="eastAsia" w:ascii="方正仿宋简体" w:eastAsia="方正仿宋简体"/>
          <w:sz w:val="32"/>
          <w:szCs w:val="32"/>
        </w:rPr>
        <w:t xml:space="preserve">县中学部门2021年度部门决算编制范围的单位。 </w:t>
      </w:r>
      <w:r>
        <w:rPr>
          <w:rFonts w:hint="eastAsia" w:ascii="方正仿宋简体" w:eastAsia="方正仿宋简体"/>
          <w:sz w:val="32"/>
          <w:szCs w:val="32"/>
        </w:rPr>
        <w:br w:type="textWrapping"/>
      </w:r>
      <w:r>
        <w:rPr>
          <w:rFonts w:hint="eastAsia" w:ascii="方正仿宋简体" w:eastAsia="方正仿宋简体"/>
          <w:sz w:val="32"/>
          <w:szCs w:val="32"/>
        </w:rPr>
        <w:t xml:space="preserve">    </w:t>
      </w:r>
      <w:r>
        <w:rPr>
          <w:rFonts w:hint="eastAsia" w:ascii="黑体" w:hAnsi="黑体" w:eastAsia="黑体" w:cs="仿宋_GB2312"/>
          <w:b/>
          <w:sz w:val="32"/>
          <w:szCs w:val="32"/>
        </w:rPr>
        <w:t>二、部门职责和机构设置</w:t>
      </w:r>
      <w:r>
        <w:rPr>
          <w:rFonts w:hint="eastAsia" w:ascii="黑体" w:hAnsi="黑体" w:eastAsia="黑体" w:cs="仿宋_GB2312"/>
          <w:b/>
          <w:sz w:val="32"/>
          <w:szCs w:val="32"/>
        </w:rPr>
        <w:br w:type="textWrapping"/>
      </w:r>
      <w:r>
        <w:rPr>
          <w:rFonts w:hint="eastAsia" w:ascii="黑体" w:hAnsi="黑体" w:eastAsia="黑体" w:cs="仿宋"/>
          <w:b/>
          <w:sz w:val="32"/>
          <w:szCs w:val="32"/>
        </w:rPr>
        <w:t xml:space="preserve">   </w:t>
      </w:r>
      <w:r>
        <w:rPr>
          <w:rFonts w:hint="eastAsia" w:ascii="方正仿宋简体" w:hAnsi="Times New Roman" w:eastAsia="方正仿宋简体" w:cs="Times New Roman"/>
          <w:sz w:val="32"/>
          <w:szCs w:val="32"/>
        </w:rPr>
        <w:t>（一）部门职责</w:t>
      </w:r>
      <w:r>
        <w:rPr>
          <w:rFonts w:hint="eastAsia" w:ascii="方正仿宋简体" w:hAnsi="Times New Roman" w:eastAsia="方正仿宋简体" w:cs="Times New Roman"/>
          <w:sz w:val="32"/>
          <w:szCs w:val="32"/>
        </w:rPr>
        <w:br w:type="textWrapping"/>
      </w:r>
      <w:r>
        <w:rPr>
          <w:rFonts w:hint="eastAsia" w:ascii="方正仿宋简体" w:hAnsi="Times New Roman" w:eastAsia="方正仿宋简体" w:cs="Times New Roman"/>
          <w:sz w:val="32"/>
          <w:szCs w:val="32"/>
        </w:rPr>
        <w:t xml:space="preserve">    1、宣传贯彻执行党和国家的教育方针、政策、法律法规等，坚持依法治教、依法治学，贯彻执行县教育局的行政规章制度。</w:t>
      </w:r>
    </w:p>
    <w:p>
      <w:pPr>
        <w:ind w:firstLine="627" w:firstLineChars="196"/>
        <w:rPr>
          <w:rFonts w:hint="eastAsia" w:ascii="方正仿宋简体" w:hAnsi="Times New Roman" w:eastAsia="方正仿宋简体" w:cs="Times New Roman"/>
          <w:sz w:val="32"/>
          <w:szCs w:val="32"/>
        </w:rPr>
      </w:pPr>
      <w:r>
        <w:rPr>
          <w:rFonts w:hint="eastAsia" w:ascii="方正仿宋简体" w:hAnsi="Times New Roman" w:eastAsia="方正仿宋简体" w:cs="Times New Roman"/>
          <w:sz w:val="32"/>
          <w:szCs w:val="32"/>
        </w:rPr>
        <w:t>2、配合县、乡（镇）人民政府制定符合党的教育方针和国家教育法律法规以及本校实际的教育发展规划和学校布局调整规划，并抓好组织实施和落实工作。</w:t>
      </w:r>
    </w:p>
    <w:p>
      <w:pPr>
        <w:ind w:firstLine="627" w:firstLineChars="196"/>
        <w:rPr>
          <w:rFonts w:hint="eastAsia" w:ascii="方正仿宋简体" w:hAnsi="Times New Roman" w:eastAsia="方正仿宋简体" w:cs="Times New Roman"/>
          <w:sz w:val="32"/>
          <w:szCs w:val="32"/>
        </w:rPr>
      </w:pPr>
      <w:r>
        <w:rPr>
          <w:rFonts w:hint="eastAsia" w:ascii="方正仿宋简体" w:hAnsi="Times New Roman" w:eastAsia="方正仿宋简体" w:cs="Times New Roman"/>
          <w:sz w:val="32"/>
          <w:szCs w:val="32"/>
        </w:rPr>
        <w:t>3、巩固提高义务教育均衡发展工作成果和整体水平，配合各级人民政府依法动员、组织适龄儿童少年入学，严格控制辍学。负责抓所在乡（镇）的成人教育工作，抓好扫盲和巩固工作，推进普及义务教育。</w:t>
      </w:r>
    </w:p>
    <w:p>
      <w:pPr>
        <w:ind w:firstLine="627" w:firstLineChars="196"/>
        <w:rPr>
          <w:rFonts w:hint="eastAsia" w:ascii="方正仿宋简体" w:hAnsi="Times New Roman" w:eastAsia="方正仿宋简体" w:cs="Times New Roman"/>
          <w:sz w:val="32"/>
          <w:szCs w:val="32"/>
        </w:rPr>
      </w:pPr>
      <w:r>
        <w:rPr>
          <w:rFonts w:hint="eastAsia" w:ascii="方正仿宋简体" w:hAnsi="Times New Roman" w:eastAsia="方正仿宋简体" w:cs="Times New Roman"/>
          <w:sz w:val="32"/>
          <w:szCs w:val="32"/>
        </w:rPr>
        <w:t>4、组织开展本校的教育教学科研和教育教学改革，科研兴教，科研兴校。负责对本校教育教学业务的具体管理，负责教育教学管理及教研教改工作，全力推进素质教育实施。</w:t>
      </w:r>
    </w:p>
    <w:p>
      <w:pPr>
        <w:ind w:firstLine="627" w:firstLineChars="196"/>
        <w:rPr>
          <w:rFonts w:hint="eastAsia" w:ascii="方正仿宋简体" w:hAnsi="Times New Roman" w:eastAsia="方正仿宋简体" w:cs="Times New Roman"/>
          <w:sz w:val="32"/>
          <w:szCs w:val="32"/>
        </w:rPr>
      </w:pPr>
      <w:r>
        <w:rPr>
          <w:rFonts w:hint="eastAsia" w:ascii="方正仿宋简体" w:hAnsi="Times New Roman" w:eastAsia="方正仿宋简体" w:cs="Times New Roman"/>
          <w:sz w:val="32"/>
          <w:szCs w:val="32"/>
        </w:rPr>
        <w:t>5、按照干部和教师的职数、编制和管理权限，负责本校教师人事管理、继续教育、考核考评等工作。</w:t>
      </w:r>
    </w:p>
    <w:p>
      <w:pPr>
        <w:ind w:firstLine="627" w:firstLineChars="196"/>
        <w:rPr>
          <w:rFonts w:hint="eastAsia" w:ascii="方正仿宋简体" w:hAnsi="Times New Roman" w:eastAsia="方正仿宋简体" w:cs="Times New Roman"/>
          <w:sz w:val="32"/>
          <w:szCs w:val="32"/>
        </w:rPr>
      </w:pPr>
      <w:r>
        <w:rPr>
          <w:rFonts w:hint="eastAsia" w:ascii="方正仿宋简体" w:hAnsi="Times New Roman" w:eastAsia="方正仿宋简体" w:cs="Times New Roman"/>
          <w:sz w:val="32"/>
          <w:szCs w:val="32"/>
        </w:rPr>
        <w:t>6、负责本校财务和基建管理，筹措资金，改善办学条件等工作。</w:t>
      </w:r>
    </w:p>
    <w:p>
      <w:pPr>
        <w:ind w:firstLine="627" w:firstLineChars="196"/>
        <w:rPr>
          <w:rFonts w:hint="eastAsia" w:ascii="方正仿宋简体" w:hAnsi="Times New Roman" w:eastAsia="方正仿宋简体" w:cs="Times New Roman"/>
          <w:sz w:val="32"/>
          <w:szCs w:val="32"/>
        </w:rPr>
      </w:pPr>
      <w:r>
        <w:rPr>
          <w:rFonts w:hint="eastAsia" w:ascii="方正仿宋简体" w:hAnsi="Times New Roman" w:eastAsia="方正仿宋简体" w:cs="Times New Roman"/>
          <w:sz w:val="32"/>
          <w:szCs w:val="32"/>
        </w:rPr>
        <w:t>7、指导、管理、检查、评价本校的教育教学工作，提高办学质量和办学效益。按照义务教育课程计划，开齐课程，开足课时，认真实施中小学的教育教学管理，全面推进素质教育，全面提高教育教学质量。</w:t>
      </w:r>
    </w:p>
    <w:p>
      <w:pPr>
        <w:ind w:firstLine="627" w:firstLineChars="196"/>
        <w:rPr>
          <w:rFonts w:hint="eastAsia" w:ascii="方正仿宋简体" w:hAnsi="Times New Roman" w:eastAsia="方正仿宋简体" w:cs="Times New Roman"/>
          <w:sz w:val="32"/>
          <w:szCs w:val="32"/>
        </w:rPr>
      </w:pPr>
      <w:r>
        <w:rPr>
          <w:rFonts w:hint="eastAsia" w:ascii="方正仿宋简体" w:hAnsi="Times New Roman" w:eastAsia="方正仿宋简体" w:cs="Times New Roman"/>
          <w:sz w:val="32"/>
          <w:szCs w:val="32"/>
        </w:rPr>
        <w:t>（二）部门机构设置</w:t>
      </w:r>
    </w:p>
    <w:p>
      <w:pPr>
        <w:ind w:firstLine="627" w:firstLineChars="196"/>
        <w:rPr>
          <w:rFonts w:hint="eastAsia" w:ascii="方正仿宋简体" w:hAnsi="Times New Roman" w:eastAsia="方正仿宋简体" w:cs="Times New Roman"/>
          <w:sz w:val="32"/>
          <w:szCs w:val="32"/>
        </w:rPr>
      </w:pPr>
      <w:r>
        <w:rPr>
          <w:rFonts w:hint="eastAsia" w:ascii="方正仿宋简体" w:hAnsi="Times New Roman" w:eastAsia="方正仿宋简体" w:cs="Times New Roman"/>
          <w:sz w:val="32"/>
          <w:szCs w:val="32"/>
        </w:rPr>
        <w:t>朗县中学内设机构5个，包括：党建（党支部书记）办公室，教务办公室，总务办公室（财务室），德育办公室、素质教育档案办公室。</w:t>
      </w:r>
    </w:p>
    <w:p>
      <w:pPr>
        <w:ind w:firstLine="627" w:firstLineChars="196"/>
        <w:rPr>
          <w:rFonts w:hint="eastAsia" w:ascii="方正仿宋简体" w:hAnsi="Times New Roman" w:eastAsia="方正仿宋简体" w:cs="Times New Roman"/>
          <w:sz w:val="32"/>
          <w:szCs w:val="32"/>
        </w:rPr>
      </w:pPr>
    </w:p>
    <w:p>
      <w:pPr>
        <w:ind w:firstLine="627" w:firstLineChars="196"/>
        <w:rPr>
          <w:rFonts w:hint="eastAsia" w:ascii="方正仿宋简体" w:hAnsi="Times New Roman" w:eastAsia="方正仿宋简体" w:cs="Times New Roman"/>
          <w:sz w:val="32"/>
          <w:szCs w:val="32"/>
        </w:rPr>
      </w:pPr>
    </w:p>
    <w:p>
      <w:pPr>
        <w:rPr>
          <w:rFonts w:ascii="仿宋" w:hAnsi="仿宋" w:eastAsia="仿宋" w:cs="仿宋"/>
          <w:sz w:val="28"/>
          <w:szCs w:val="28"/>
        </w:rPr>
      </w:pPr>
    </w:p>
    <w:p>
      <w:pPr>
        <w:rPr>
          <w:rFonts w:ascii="仿宋" w:hAnsi="仿宋" w:eastAsia="仿宋" w:cs="仿宋"/>
          <w:b/>
          <w:sz w:val="28"/>
          <w:szCs w:val="28"/>
        </w:rPr>
      </w:pPr>
    </w:p>
    <w:p>
      <w:pPr>
        <w:spacing w:line="460" w:lineRule="exact"/>
        <w:rPr>
          <w:rFonts w:ascii="黑体" w:hAnsi="宋体" w:eastAsia="黑体" w:cs="Times New Roman"/>
          <w:sz w:val="48"/>
          <w:szCs w:val="48"/>
        </w:rPr>
      </w:pPr>
    </w:p>
    <w:p>
      <w:pPr>
        <w:spacing w:line="460" w:lineRule="exact"/>
        <w:rPr>
          <w:rFonts w:ascii="黑体" w:hAnsi="宋体" w:eastAsia="黑体" w:cs="Times New Roman"/>
          <w:sz w:val="48"/>
          <w:szCs w:val="48"/>
        </w:rPr>
      </w:pPr>
    </w:p>
    <w:p>
      <w:pPr>
        <w:spacing w:line="460" w:lineRule="exact"/>
        <w:rPr>
          <w:rFonts w:ascii="黑体" w:hAnsi="宋体" w:eastAsia="黑体" w:cs="Times New Roman"/>
          <w:sz w:val="48"/>
          <w:szCs w:val="48"/>
        </w:rPr>
      </w:pPr>
    </w:p>
    <w:p>
      <w:pPr>
        <w:spacing w:line="460" w:lineRule="exact"/>
        <w:rPr>
          <w:rFonts w:ascii="黑体" w:hAnsi="宋体" w:eastAsia="黑体" w:cs="Times New Roman"/>
          <w:sz w:val="48"/>
          <w:szCs w:val="48"/>
        </w:rPr>
      </w:pPr>
    </w:p>
    <w:p>
      <w:pPr>
        <w:spacing w:line="460" w:lineRule="exact"/>
        <w:rPr>
          <w:rFonts w:ascii="黑体" w:hAnsi="宋体" w:eastAsia="黑体" w:cs="Times New Roman"/>
          <w:sz w:val="48"/>
          <w:szCs w:val="48"/>
        </w:rPr>
      </w:pPr>
    </w:p>
    <w:p>
      <w:pPr>
        <w:spacing w:line="460" w:lineRule="exact"/>
        <w:rPr>
          <w:rFonts w:ascii="黑体" w:hAnsi="宋体" w:eastAsia="黑体" w:cs="Times New Roman"/>
          <w:sz w:val="48"/>
          <w:szCs w:val="48"/>
        </w:rPr>
      </w:pPr>
    </w:p>
    <w:p>
      <w:pPr>
        <w:spacing w:line="460" w:lineRule="exact"/>
        <w:jc w:val="center"/>
        <w:rPr>
          <w:rFonts w:ascii="黑体" w:hAnsi="宋体" w:eastAsia="黑体" w:cs="Times New Roman"/>
          <w:sz w:val="48"/>
          <w:szCs w:val="48"/>
        </w:rPr>
      </w:pPr>
    </w:p>
    <w:p>
      <w:pPr>
        <w:spacing w:line="460" w:lineRule="exact"/>
        <w:jc w:val="center"/>
        <w:rPr>
          <w:rFonts w:ascii="黑体" w:hAnsi="宋体" w:eastAsia="黑体" w:cs="Times New Roman"/>
          <w:sz w:val="48"/>
          <w:szCs w:val="48"/>
        </w:rPr>
      </w:pPr>
      <w:r>
        <w:rPr>
          <w:rFonts w:hint="eastAsia" w:ascii="黑体" w:hAnsi="宋体" w:eastAsia="黑体" w:cs="Times New Roman"/>
          <w:sz w:val="48"/>
          <w:szCs w:val="48"/>
        </w:rPr>
        <w:t>第二部分</w:t>
      </w:r>
    </w:p>
    <w:p>
      <w:pPr>
        <w:spacing w:line="460" w:lineRule="exact"/>
        <w:jc w:val="center"/>
        <w:rPr>
          <w:rFonts w:ascii="黑体" w:hAnsi="宋体" w:eastAsia="黑体" w:cs="Times New Roman"/>
          <w:sz w:val="48"/>
          <w:szCs w:val="48"/>
        </w:rPr>
      </w:pPr>
    </w:p>
    <w:p>
      <w:pPr>
        <w:spacing w:line="460" w:lineRule="exact"/>
        <w:jc w:val="center"/>
        <w:rPr>
          <w:rFonts w:ascii="黑体" w:hAnsi="宋体" w:eastAsia="黑体" w:cs="Times New Roman"/>
          <w:sz w:val="48"/>
          <w:szCs w:val="48"/>
        </w:rPr>
      </w:pPr>
      <w:r>
        <w:rPr>
          <w:rFonts w:hint="eastAsia" w:ascii="黑体" w:hAnsi="宋体" w:eastAsia="黑体" w:cs="Times New Roman"/>
          <w:sz w:val="48"/>
          <w:szCs w:val="48"/>
        </w:rPr>
        <w:t>朗县中学2021年度决算明细表</w:t>
      </w:r>
    </w:p>
    <w:p>
      <w:pPr>
        <w:spacing w:line="460" w:lineRule="exact"/>
        <w:jc w:val="center"/>
        <w:rPr>
          <w:rFonts w:ascii="黑体" w:hAnsi="宋体" w:eastAsia="黑体" w:cs="Times New Roman"/>
          <w:sz w:val="48"/>
          <w:szCs w:val="48"/>
        </w:rPr>
      </w:pPr>
    </w:p>
    <w:p>
      <w:pPr>
        <w:pStyle w:val="2"/>
      </w:pPr>
    </w:p>
    <w:p/>
    <w:p/>
    <w:p/>
    <w:p>
      <w:r>
        <w:rPr>
          <w:lang w:bidi="bo-CN"/>
        </w:rPr>
        <w:drawing>
          <wp:inline distT="0" distB="0" distL="114300" distR="114300">
            <wp:extent cx="8860155" cy="5973445"/>
            <wp:effectExtent l="0" t="0" r="9525"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cstate="print"/>
                    <a:stretch>
                      <a:fillRect/>
                    </a:stretch>
                  </pic:blipFill>
                  <pic:spPr>
                    <a:xfrm>
                      <a:off x="0" y="0"/>
                      <a:ext cx="8860155" cy="5973445"/>
                    </a:xfrm>
                    <a:prstGeom prst="rect">
                      <a:avLst/>
                    </a:prstGeom>
                    <a:noFill/>
                    <a:ln>
                      <a:noFill/>
                    </a:ln>
                  </pic:spPr>
                </pic:pic>
              </a:graphicData>
            </a:graphic>
          </wp:inline>
        </w:drawing>
      </w:r>
    </w:p>
    <w:p/>
    <w:p>
      <w:pPr>
        <w:rPr>
          <w:rFonts w:ascii="仿宋" w:hAnsi="仿宋" w:eastAsia="仿宋" w:cs="仿宋"/>
          <w:sz w:val="28"/>
          <w:szCs w:val="28"/>
        </w:rPr>
      </w:pPr>
      <w:r>
        <w:rPr>
          <w:lang w:bidi="bo-CN"/>
        </w:rPr>
        <w:drawing>
          <wp:inline distT="0" distB="0" distL="114300" distR="114300">
            <wp:extent cx="8860790" cy="4688840"/>
            <wp:effectExtent l="0" t="0" r="8890" b="508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cstate="print"/>
                    <a:stretch>
                      <a:fillRect/>
                    </a:stretch>
                  </pic:blipFill>
                  <pic:spPr>
                    <a:xfrm>
                      <a:off x="0" y="0"/>
                      <a:ext cx="8860790" cy="4688840"/>
                    </a:xfrm>
                    <a:prstGeom prst="rect">
                      <a:avLst/>
                    </a:prstGeom>
                    <a:noFill/>
                    <a:ln>
                      <a:noFill/>
                    </a:ln>
                  </pic:spPr>
                </pic:pic>
              </a:graphicData>
            </a:graphic>
          </wp:inline>
        </w:drawing>
      </w:r>
    </w:p>
    <w:p/>
    <w:p>
      <w:pPr>
        <w:rPr>
          <w:rFonts w:ascii="仿宋" w:hAnsi="仿宋" w:eastAsia="仿宋" w:cs="仿宋"/>
          <w:sz w:val="28"/>
          <w:szCs w:val="28"/>
        </w:rPr>
      </w:pPr>
      <w:r>
        <w:rPr>
          <w:lang w:bidi="bo-CN"/>
        </w:rPr>
        <w:drawing>
          <wp:inline distT="0" distB="0" distL="114300" distR="114300">
            <wp:extent cx="8859520" cy="4884420"/>
            <wp:effectExtent l="0" t="0" r="10160" b="762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7" cstate="print"/>
                    <a:stretch>
                      <a:fillRect/>
                    </a:stretch>
                  </pic:blipFill>
                  <pic:spPr>
                    <a:xfrm>
                      <a:off x="0" y="0"/>
                      <a:ext cx="8859520" cy="4884420"/>
                    </a:xfrm>
                    <a:prstGeom prst="rect">
                      <a:avLst/>
                    </a:prstGeom>
                    <a:noFill/>
                    <a:ln>
                      <a:noFill/>
                    </a:ln>
                  </pic:spPr>
                </pic:pic>
              </a:graphicData>
            </a:graphic>
          </wp:inline>
        </w:drawing>
      </w:r>
    </w:p>
    <w:p>
      <w:pPr>
        <w:rPr>
          <w:rFonts w:ascii="仿宋" w:hAnsi="仿宋" w:eastAsia="仿宋" w:cs="仿宋"/>
          <w:sz w:val="28"/>
          <w:szCs w:val="28"/>
        </w:rPr>
      </w:pPr>
      <w:r>
        <w:rPr>
          <w:lang w:bidi="bo-CN"/>
        </w:rPr>
        <w:drawing>
          <wp:inline distT="0" distB="0" distL="114300" distR="114300">
            <wp:extent cx="8856980" cy="4848860"/>
            <wp:effectExtent l="0" t="0" r="12700" b="1270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stretch>
                      <a:fillRect/>
                    </a:stretch>
                  </pic:blipFill>
                  <pic:spPr>
                    <a:xfrm>
                      <a:off x="0" y="0"/>
                      <a:ext cx="8856980" cy="4848860"/>
                    </a:xfrm>
                    <a:prstGeom prst="rect">
                      <a:avLst/>
                    </a:prstGeom>
                    <a:noFill/>
                    <a:ln>
                      <a:noFill/>
                    </a:ln>
                  </pic:spPr>
                </pic:pic>
              </a:graphicData>
            </a:graphic>
          </wp:inline>
        </w:drawing>
      </w:r>
    </w:p>
    <w:p>
      <w:pPr>
        <w:rPr>
          <w:rFonts w:ascii="仿宋" w:hAnsi="仿宋" w:eastAsia="仿宋" w:cs="仿宋"/>
          <w:sz w:val="28"/>
          <w:szCs w:val="28"/>
        </w:rPr>
      </w:pPr>
    </w:p>
    <w:p>
      <w:pPr>
        <w:jc w:val="center"/>
      </w:pPr>
      <w:r>
        <w:rPr>
          <w:lang w:bidi="bo-CN"/>
        </w:rPr>
        <w:drawing>
          <wp:inline distT="0" distB="0" distL="114300" distR="114300">
            <wp:extent cx="8546465" cy="5269230"/>
            <wp:effectExtent l="0" t="0" r="3175" b="381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9" cstate="print"/>
                    <a:stretch>
                      <a:fillRect/>
                    </a:stretch>
                  </pic:blipFill>
                  <pic:spPr>
                    <a:xfrm>
                      <a:off x="0" y="0"/>
                      <a:ext cx="8546465" cy="5269230"/>
                    </a:xfrm>
                    <a:prstGeom prst="rect">
                      <a:avLst/>
                    </a:prstGeom>
                    <a:noFill/>
                    <a:ln>
                      <a:noFill/>
                    </a:ln>
                  </pic:spPr>
                </pic:pic>
              </a:graphicData>
            </a:graphic>
          </wp:inline>
        </w:drawing>
      </w:r>
    </w:p>
    <w:p>
      <w:r>
        <w:rPr>
          <w:lang w:bidi="bo-CN"/>
        </w:rPr>
        <w:drawing>
          <wp:inline distT="0" distB="0" distL="114300" distR="114300">
            <wp:extent cx="8858885" cy="5145405"/>
            <wp:effectExtent l="0" t="0" r="10795" b="5715"/>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10" cstate="print"/>
                    <a:stretch>
                      <a:fillRect/>
                    </a:stretch>
                  </pic:blipFill>
                  <pic:spPr>
                    <a:xfrm>
                      <a:off x="0" y="0"/>
                      <a:ext cx="8858885" cy="5145405"/>
                    </a:xfrm>
                    <a:prstGeom prst="rect">
                      <a:avLst/>
                    </a:prstGeom>
                    <a:noFill/>
                    <a:ln>
                      <a:noFill/>
                    </a:ln>
                  </pic:spPr>
                </pic:pic>
              </a:graphicData>
            </a:graphic>
          </wp:inline>
        </w:drawing>
      </w:r>
    </w:p>
    <w:p/>
    <w:p/>
    <w:p>
      <w:r>
        <w:rPr>
          <w:lang w:bidi="bo-CN"/>
        </w:rPr>
        <w:drawing>
          <wp:inline distT="0" distB="0" distL="114300" distR="114300">
            <wp:extent cx="8696325" cy="3048000"/>
            <wp:effectExtent l="0" t="0" r="5715" b="0"/>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11" cstate="print"/>
                    <a:stretch>
                      <a:fillRect/>
                    </a:stretch>
                  </pic:blipFill>
                  <pic:spPr>
                    <a:xfrm>
                      <a:off x="0" y="0"/>
                      <a:ext cx="8696325" cy="3048000"/>
                    </a:xfrm>
                    <a:prstGeom prst="rect">
                      <a:avLst/>
                    </a:prstGeom>
                    <a:noFill/>
                    <a:ln>
                      <a:noFill/>
                    </a:ln>
                  </pic:spPr>
                </pic:pic>
              </a:graphicData>
            </a:graphic>
          </wp:inline>
        </w:drawing>
      </w:r>
    </w:p>
    <w:p>
      <w:pPr>
        <w:jc w:val="center"/>
      </w:pPr>
    </w:p>
    <w:p>
      <w:pPr>
        <w:rPr>
          <w:rFonts w:ascii="仿宋" w:hAnsi="仿宋" w:eastAsia="仿宋" w:cs="仿宋"/>
          <w:sz w:val="28"/>
          <w:szCs w:val="28"/>
        </w:rPr>
      </w:pPr>
    </w:p>
    <w:p>
      <w:pPr>
        <w:rPr>
          <w:rFonts w:ascii="黑体" w:hAnsi="宋体" w:eastAsia="黑体" w:cs="Times New Roman"/>
          <w:sz w:val="48"/>
          <w:szCs w:val="48"/>
        </w:rPr>
      </w:pPr>
    </w:p>
    <w:p>
      <w:pPr>
        <w:rPr>
          <w:rFonts w:ascii="黑体" w:hAnsi="宋体" w:eastAsia="黑体" w:cs="Times New Roman"/>
          <w:sz w:val="48"/>
          <w:szCs w:val="48"/>
        </w:rPr>
      </w:pPr>
    </w:p>
    <w:p/>
    <w:p>
      <w:pPr>
        <w:rPr>
          <w:rFonts w:ascii="黑体" w:hAnsi="宋体" w:eastAsia="黑体" w:cs="Times New Roman"/>
          <w:sz w:val="48"/>
          <w:szCs w:val="48"/>
        </w:rPr>
      </w:pPr>
      <w:r>
        <w:rPr>
          <w:lang w:bidi="bo-CN"/>
        </w:rPr>
        <w:drawing>
          <wp:inline distT="0" distB="0" distL="114300" distR="114300">
            <wp:extent cx="8856345" cy="3412490"/>
            <wp:effectExtent l="0" t="0" r="13335" b="1270"/>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12" cstate="print"/>
                    <a:stretch>
                      <a:fillRect/>
                    </a:stretch>
                  </pic:blipFill>
                  <pic:spPr>
                    <a:xfrm>
                      <a:off x="0" y="0"/>
                      <a:ext cx="8856345" cy="3412490"/>
                    </a:xfrm>
                    <a:prstGeom prst="rect">
                      <a:avLst/>
                    </a:prstGeom>
                    <a:noFill/>
                    <a:ln>
                      <a:noFill/>
                    </a:ln>
                  </pic:spPr>
                </pic:pic>
              </a:graphicData>
            </a:graphic>
          </wp:inline>
        </w:drawing>
      </w:r>
    </w:p>
    <w:p>
      <w:pPr>
        <w:rPr>
          <w:rFonts w:ascii="黑体" w:hAnsi="宋体" w:eastAsia="黑体" w:cs="Times New Roman"/>
          <w:sz w:val="48"/>
          <w:szCs w:val="48"/>
        </w:rPr>
      </w:pPr>
    </w:p>
    <w:p>
      <w:pPr>
        <w:rPr>
          <w:rFonts w:ascii="黑体" w:hAnsi="宋体" w:eastAsia="黑体" w:cs="Times New Roman"/>
          <w:sz w:val="48"/>
          <w:szCs w:val="48"/>
        </w:rPr>
      </w:pPr>
    </w:p>
    <w:p>
      <w:pPr>
        <w:rPr>
          <w:rFonts w:ascii="黑体" w:hAnsi="宋体" w:eastAsia="黑体" w:cs="Times New Roman"/>
          <w:sz w:val="48"/>
          <w:szCs w:val="48"/>
        </w:rPr>
      </w:pPr>
    </w:p>
    <w:p>
      <w:pPr>
        <w:rPr>
          <w:rFonts w:ascii="黑体" w:hAnsi="宋体" w:eastAsia="黑体" w:cs="Times New Roman"/>
          <w:sz w:val="48"/>
          <w:szCs w:val="48"/>
        </w:rPr>
      </w:pPr>
    </w:p>
    <w:p>
      <w:pPr>
        <w:spacing w:line="460" w:lineRule="exact"/>
        <w:jc w:val="center"/>
        <w:rPr>
          <w:rFonts w:ascii="黑体" w:hAnsi="宋体" w:eastAsia="黑体" w:cs="Times New Roman"/>
          <w:sz w:val="48"/>
          <w:szCs w:val="48"/>
        </w:rPr>
      </w:pPr>
    </w:p>
    <w:p>
      <w:pPr>
        <w:spacing w:line="460" w:lineRule="exact"/>
        <w:jc w:val="center"/>
        <w:rPr>
          <w:rFonts w:ascii="黑体" w:hAnsi="宋体" w:eastAsia="黑体" w:cs="Times New Roman"/>
          <w:sz w:val="48"/>
          <w:szCs w:val="48"/>
        </w:rPr>
      </w:pPr>
    </w:p>
    <w:p>
      <w:pPr>
        <w:spacing w:line="460" w:lineRule="exact"/>
        <w:jc w:val="center"/>
        <w:rPr>
          <w:rFonts w:ascii="黑体" w:hAnsi="宋体" w:eastAsia="黑体" w:cs="Times New Roman"/>
          <w:sz w:val="48"/>
          <w:szCs w:val="48"/>
        </w:rPr>
      </w:pPr>
    </w:p>
    <w:p>
      <w:pPr>
        <w:spacing w:line="460" w:lineRule="exact"/>
        <w:jc w:val="center"/>
        <w:rPr>
          <w:rFonts w:ascii="黑体" w:hAnsi="宋体" w:eastAsia="黑体" w:cs="Times New Roman"/>
          <w:sz w:val="48"/>
          <w:szCs w:val="48"/>
        </w:rPr>
      </w:pPr>
    </w:p>
    <w:p>
      <w:pPr>
        <w:spacing w:line="460" w:lineRule="exact"/>
        <w:rPr>
          <w:rFonts w:ascii="黑体" w:hAnsi="宋体" w:eastAsia="黑体" w:cs="Times New Roman"/>
          <w:sz w:val="48"/>
          <w:szCs w:val="48"/>
        </w:rPr>
      </w:pPr>
    </w:p>
    <w:p>
      <w:pPr>
        <w:spacing w:line="460" w:lineRule="exact"/>
        <w:rPr>
          <w:rFonts w:ascii="黑体" w:hAnsi="宋体" w:eastAsia="黑体" w:cs="Times New Roman"/>
          <w:sz w:val="48"/>
          <w:szCs w:val="48"/>
        </w:rPr>
      </w:pPr>
    </w:p>
    <w:p>
      <w:pPr>
        <w:spacing w:line="460" w:lineRule="exact"/>
        <w:jc w:val="center"/>
        <w:rPr>
          <w:rFonts w:ascii="黑体" w:hAnsi="宋体" w:eastAsia="黑体" w:cs="Times New Roman"/>
          <w:sz w:val="48"/>
          <w:szCs w:val="48"/>
        </w:rPr>
      </w:pPr>
      <w:r>
        <w:rPr>
          <w:rFonts w:hint="eastAsia" w:ascii="黑体" w:hAnsi="宋体" w:eastAsia="黑体" w:cs="Times New Roman"/>
          <w:sz w:val="48"/>
          <w:szCs w:val="48"/>
        </w:rPr>
        <w:t>第三部分</w:t>
      </w:r>
    </w:p>
    <w:p>
      <w:pPr>
        <w:spacing w:line="460" w:lineRule="exact"/>
        <w:jc w:val="center"/>
        <w:rPr>
          <w:rFonts w:ascii="黑体" w:hAnsi="宋体" w:eastAsia="黑体" w:cs="Times New Roman"/>
          <w:sz w:val="48"/>
          <w:szCs w:val="48"/>
        </w:rPr>
      </w:pPr>
    </w:p>
    <w:p>
      <w:pPr>
        <w:spacing w:line="460" w:lineRule="exact"/>
        <w:jc w:val="center"/>
        <w:rPr>
          <w:rFonts w:ascii="黑体" w:hAnsi="宋体" w:eastAsia="黑体" w:cs="Times New Roman"/>
          <w:sz w:val="48"/>
          <w:szCs w:val="48"/>
        </w:rPr>
      </w:pPr>
      <w:r>
        <w:rPr>
          <w:rFonts w:hint="eastAsia" w:ascii="黑体" w:hAnsi="宋体" w:eastAsia="黑体" w:cs="Times New Roman"/>
          <w:sz w:val="48"/>
          <w:szCs w:val="48"/>
        </w:rPr>
        <w:t>朗县中学2021年度</w:t>
      </w:r>
    </w:p>
    <w:p>
      <w:pPr>
        <w:spacing w:line="460" w:lineRule="exact"/>
        <w:jc w:val="center"/>
        <w:rPr>
          <w:rFonts w:ascii="黑体" w:hAnsi="宋体" w:eastAsia="黑体" w:cs="Times New Roman"/>
          <w:sz w:val="48"/>
          <w:szCs w:val="48"/>
        </w:rPr>
      </w:pPr>
    </w:p>
    <w:p>
      <w:pPr>
        <w:spacing w:line="460" w:lineRule="exact"/>
        <w:jc w:val="center"/>
        <w:rPr>
          <w:rFonts w:ascii="黑体" w:hAnsi="宋体" w:eastAsia="黑体" w:cs="Times New Roman"/>
          <w:sz w:val="48"/>
          <w:szCs w:val="48"/>
        </w:rPr>
      </w:pPr>
      <w:r>
        <w:rPr>
          <w:rFonts w:hint="eastAsia" w:ascii="黑体" w:hAnsi="宋体" w:eastAsia="黑体" w:cs="Times New Roman"/>
          <w:sz w:val="48"/>
          <w:szCs w:val="48"/>
        </w:rPr>
        <w:t>决算情况说明</w:t>
      </w:r>
    </w:p>
    <w:p>
      <w:pPr>
        <w:spacing w:line="460" w:lineRule="exact"/>
        <w:jc w:val="center"/>
        <w:rPr>
          <w:rFonts w:ascii="黑体" w:hAnsi="宋体" w:eastAsia="黑体" w:cs="Times New Roman"/>
          <w:sz w:val="48"/>
          <w:szCs w:val="48"/>
        </w:rPr>
      </w:pPr>
    </w:p>
    <w:p>
      <w:pPr>
        <w:spacing w:line="460" w:lineRule="exact"/>
        <w:jc w:val="center"/>
        <w:rPr>
          <w:rFonts w:ascii="黑体" w:hAnsi="宋体" w:eastAsia="黑体" w:cs="Times New Roman"/>
          <w:sz w:val="48"/>
          <w:szCs w:val="48"/>
        </w:rPr>
      </w:pPr>
    </w:p>
    <w:p>
      <w:pPr>
        <w:spacing w:line="460" w:lineRule="exact"/>
        <w:jc w:val="center"/>
        <w:rPr>
          <w:rFonts w:ascii="黑体" w:hAnsi="宋体" w:eastAsia="黑体" w:cs="Times New Roman"/>
          <w:sz w:val="48"/>
          <w:szCs w:val="48"/>
        </w:rPr>
      </w:pPr>
    </w:p>
    <w:p>
      <w:pPr>
        <w:spacing w:line="460" w:lineRule="exact"/>
        <w:jc w:val="center"/>
        <w:rPr>
          <w:rFonts w:ascii="黑体" w:hAnsi="宋体" w:eastAsia="黑体" w:cs="Times New Roman"/>
          <w:sz w:val="48"/>
          <w:szCs w:val="48"/>
        </w:rPr>
      </w:pPr>
    </w:p>
    <w:p>
      <w:pPr>
        <w:spacing w:line="460" w:lineRule="exact"/>
        <w:jc w:val="center"/>
        <w:rPr>
          <w:rFonts w:ascii="黑体" w:hAnsi="宋体" w:eastAsia="黑体" w:cs="Times New Roman"/>
          <w:sz w:val="48"/>
          <w:szCs w:val="48"/>
        </w:rPr>
      </w:pPr>
    </w:p>
    <w:p>
      <w:pPr>
        <w:spacing w:line="460" w:lineRule="exact"/>
        <w:jc w:val="center"/>
        <w:rPr>
          <w:rFonts w:ascii="黑体" w:hAnsi="宋体" w:eastAsia="黑体" w:cs="Times New Roman"/>
          <w:sz w:val="48"/>
          <w:szCs w:val="48"/>
        </w:rPr>
      </w:pPr>
    </w:p>
    <w:p>
      <w:pPr>
        <w:spacing w:line="460" w:lineRule="exact"/>
        <w:rPr>
          <w:rFonts w:ascii="黑体" w:hAnsi="宋体" w:eastAsia="黑体" w:cs="Times New Roman"/>
          <w:sz w:val="48"/>
          <w:szCs w:val="48"/>
        </w:rPr>
      </w:pPr>
    </w:p>
    <w:p>
      <w:pPr>
        <w:ind w:firstLine="320" w:firstLineChars="100"/>
        <w:rPr>
          <w:rFonts w:hint="eastAsia" w:ascii="黑体" w:hAnsi="宋体" w:eastAsia="黑体" w:cs="Times New Roman"/>
          <w:sz w:val="32"/>
          <w:szCs w:val="32"/>
        </w:rPr>
      </w:pPr>
      <w:r>
        <w:rPr>
          <w:rFonts w:hint="eastAsia" w:ascii="黑体" w:hAnsi="宋体" w:eastAsia="黑体" w:cs="Times New Roman"/>
          <w:sz w:val="32"/>
          <w:szCs w:val="32"/>
        </w:rPr>
        <w:t>一、2021年度收入支出决算总体情况说明</w:t>
      </w:r>
    </w:p>
    <w:p>
      <w:pPr>
        <w:rPr>
          <w:rFonts w:hint="eastAsia" w:ascii="方正仿宋简体" w:hAnsi="Times New Roman" w:eastAsia="方正仿宋简体" w:cs="Times New Roman"/>
          <w:sz w:val="32"/>
          <w:szCs w:val="32"/>
          <w:lang w:val="en-US" w:eastAsia="zh-CN"/>
        </w:rPr>
      </w:pPr>
      <w:r>
        <w:rPr>
          <w:rFonts w:hint="eastAsia" w:ascii="方正仿宋简体" w:hAnsi="方正仿宋简体" w:eastAsia="方正仿宋简体" w:cs="方正仿宋简体"/>
          <w:sz w:val="32"/>
          <w:szCs w:val="32"/>
        </w:rPr>
        <w:t xml:space="preserve">  </w:t>
      </w:r>
      <w:r>
        <w:rPr>
          <w:rFonts w:hint="eastAsia" w:ascii="方正仿宋简体" w:hAnsi="Times New Roman" w:eastAsia="方正仿宋简体" w:cs="Times New Roman"/>
          <w:sz w:val="32"/>
          <w:szCs w:val="32"/>
        </w:rPr>
        <w:t xml:space="preserve">  </w:t>
      </w:r>
      <w:r>
        <w:rPr>
          <w:rFonts w:hint="eastAsia" w:ascii="方正仿宋简体" w:hAnsi="Times New Roman" w:eastAsia="方正仿宋简体" w:cs="Times New Roman"/>
          <w:sz w:val="32"/>
          <w:szCs w:val="32"/>
          <w:lang w:val="en-US" w:eastAsia="zh-CN"/>
        </w:rPr>
        <w:t xml:space="preserve">朗县中学2021年收入总计1317.22万元，上年结转29.11万元。支出总计1319.29万元；2020年收入总计1262.92万元，支出总计1684.57万元。与2020 年度相比，收入增加了54.3万元，增加4.3%；支出减少了365.28万元，减少21.68%。主要原因是2021年无项目支出，导致本年度支出比上年减少。 </w:t>
      </w:r>
    </w:p>
    <w:p>
      <w:pPr>
        <w:ind w:firstLine="320" w:firstLineChars="100"/>
        <w:rPr>
          <w:rFonts w:hint="eastAsia" w:ascii="黑体" w:hAnsi="宋体" w:eastAsia="黑体" w:cs="Times New Roman"/>
          <w:sz w:val="32"/>
          <w:szCs w:val="32"/>
        </w:rPr>
      </w:pPr>
      <w:r>
        <w:rPr>
          <w:rFonts w:hint="eastAsia" w:ascii="黑体" w:hAnsi="宋体" w:eastAsia="黑体" w:cs="Times New Roman"/>
          <w:sz w:val="32"/>
          <w:szCs w:val="32"/>
        </w:rPr>
        <w:t>二、2021年度收入决算情况说明</w:t>
      </w:r>
    </w:p>
    <w:p>
      <w:pPr>
        <w:rPr>
          <w:rFonts w:hint="eastAsia" w:ascii="方正仿宋简体" w:hAnsi="Calibri" w:eastAsia="方正仿宋简体" w:cs="Times New Roman"/>
          <w:sz w:val="32"/>
          <w:szCs w:val="32"/>
        </w:rPr>
      </w:pPr>
      <w:r>
        <w:rPr>
          <w:rFonts w:hint="eastAsia" w:ascii="方正仿宋简体" w:hAnsi="方正仿宋简体" w:eastAsia="方正仿宋简体" w:cs="方正仿宋简体"/>
          <w:sz w:val="32"/>
          <w:szCs w:val="32"/>
        </w:rPr>
        <w:t xml:space="preserve">  </w:t>
      </w:r>
      <w:r>
        <w:rPr>
          <w:rFonts w:hint="eastAsia" w:ascii="方正仿宋简体" w:hAnsi="Calibri" w:eastAsia="方正仿宋简体" w:cs="Times New Roman"/>
          <w:sz w:val="32"/>
          <w:szCs w:val="32"/>
        </w:rPr>
        <w:t xml:space="preserve">  朗县中学2021年收入总计1317.22万元。其中：财政拨款收入1317.22万元，占100%。  </w:t>
      </w:r>
    </w:p>
    <w:p>
      <w:pPr>
        <w:jc w:val="left"/>
        <w:rPr>
          <w:rFonts w:hint="eastAsia" w:ascii="黑体" w:hAnsi="宋体" w:eastAsia="黑体" w:cs="Times New Roman"/>
          <w:sz w:val="32"/>
          <w:szCs w:val="32"/>
        </w:rPr>
      </w:pPr>
      <w:r>
        <w:rPr>
          <w:rFonts w:hint="eastAsia" w:ascii="方正仿宋简体" w:hAnsi="方正仿宋简体" w:eastAsia="方正仿宋简体" w:cs="方正仿宋简体"/>
          <w:sz w:val="32"/>
          <w:szCs w:val="32"/>
        </w:rPr>
        <w:t xml:space="preserve"> </w:t>
      </w:r>
      <w:r>
        <w:rPr>
          <w:rFonts w:hint="eastAsia" w:ascii="黑体" w:hAnsi="宋体" w:eastAsia="黑体" w:cs="Times New Roman"/>
          <w:sz w:val="32"/>
          <w:szCs w:val="32"/>
          <w:lang w:val="en-US" w:eastAsia="zh-CN"/>
        </w:rPr>
        <w:t xml:space="preserve"> </w:t>
      </w:r>
      <w:r>
        <w:rPr>
          <w:rFonts w:hint="eastAsia" w:ascii="黑体" w:hAnsi="宋体" w:eastAsia="黑体" w:cs="Times New Roman"/>
          <w:sz w:val="32"/>
          <w:szCs w:val="32"/>
        </w:rPr>
        <w:t>三、2021年度支出决算情况说明</w:t>
      </w:r>
    </w:p>
    <w:p>
      <w:pPr>
        <w:ind w:firstLine="640" w:firstLineChars="200"/>
        <w:rPr>
          <w:rFonts w:hint="eastAsia" w:ascii="方正仿宋简体" w:hAnsi="Calibri" w:eastAsia="方正仿宋简体" w:cs="Times New Roman"/>
          <w:sz w:val="32"/>
          <w:szCs w:val="32"/>
          <w:lang w:val="en-US" w:eastAsia="zh-CN"/>
        </w:rPr>
      </w:pPr>
      <w:r>
        <w:rPr>
          <w:rFonts w:hint="eastAsia" w:ascii="方正仿宋简体" w:hAnsi="Calibri" w:eastAsia="方正仿宋简体" w:cs="Times New Roman"/>
          <w:sz w:val="32"/>
          <w:szCs w:val="32"/>
          <w:lang w:val="en-US" w:eastAsia="zh-CN"/>
        </w:rPr>
        <w:t>朗县中学2021年支出合计1319.29万元，其中：基本支出1319.29万元，占总支出的100%，基本支出中人员经费1230.34万元，占基本支出的93.26%，日常公用经费88.95万元，占基本支出的6.74%。</w:t>
      </w:r>
    </w:p>
    <w:p>
      <w:pPr>
        <w:ind w:left="640" w:hanging="640" w:hangingChars="200"/>
        <w:rPr>
          <w:rFonts w:hint="eastAsia" w:ascii="黑体" w:hAnsi="宋体" w:eastAsia="黑体" w:cs="Times New Roman"/>
          <w:sz w:val="32"/>
          <w:szCs w:val="32"/>
        </w:rPr>
      </w:pPr>
      <w:r>
        <w:rPr>
          <w:rFonts w:hint="eastAsia" w:ascii="黑体" w:hAnsi="宋体" w:eastAsia="黑体" w:cs="Times New Roman"/>
          <w:sz w:val="32"/>
          <w:szCs w:val="32"/>
        </w:rPr>
        <w:t xml:space="preserve">    四、2021年度一般公共预算公共财政拨款支出情况说明</w:t>
      </w:r>
    </w:p>
    <w:p>
      <w:pPr>
        <w:ind w:firstLine="640" w:firstLineChars="200"/>
        <w:rPr>
          <w:rFonts w:hint="eastAsia" w:ascii="方正仿宋简体" w:hAnsi="Calibri" w:eastAsia="方正仿宋简体" w:cs="Times New Roman"/>
          <w:sz w:val="32"/>
          <w:szCs w:val="32"/>
        </w:rPr>
      </w:pPr>
      <w:r>
        <w:rPr>
          <w:rFonts w:hint="eastAsia" w:ascii="方正仿宋简体" w:hAnsi="Calibri" w:eastAsia="方正仿宋简体" w:cs="Times New Roman"/>
          <w:sz w:val="32"/>
          <w:szCs w:val="32"/>
        </w:rPr>
        <w:t xml:space="preserve">（一）一般公共预算财政拨款决算数1319.29万元。 </w:t>
      </w:r>
    </w:p>
    <w:p>
      <w:pPr>
        <w:ind w:firstLine="640" w:firstLineChars="200"/>
        <w:rPr>
          <w:rFonts w:hint="eastAsia" w:ascii="方正仿宋简体" w:hAnsi="Calibri" w:eastAsia="方正仿宋简体" w:cs="Times New Roman"/>
          <w:sz w:val="32"/>
          <w:szCs w:val="32"/>
        </w:rPr>
      </w:pPr>
      <w:r>
        <w:rPr>
          <w:rFonts w:hint="eastAsia" w:ascii="方正仿宋简体" w:hAnsi="Calibri" w:eastAsia="方正仿宋简体" w:cs="Times New Roman"/>
          <w:sz w:val="32"/>
          <w:szCs w:val="32"/>
        </w:rPr>
        <w:t>（二）财政拨款支出决算结构情况</w:t>
      </w:r>
    </w:p>
    <w:p>
      <w:pPr>
        <w:ind w:firstLine="640" w:firstLineChars="200"/>
        <w:rPr>
          <w:rFonts w:hint="eastAsia" w:ascii="方正仿宋简体" w:hAnsi="Calibri" w:eastAsia="方正仿宋简体" w:cs="Times New Roman"/>
          <w:sz w:val="32"/>
          <w:szCs w:val="32"/>
        </w:rPr>
      </w:pPr>
      <w:r>
        <w:rPr>
          <w:rFonts w:hint="eastAsia" w:ascii="方正仿宋简体" w:hAnsi="Calibri" w:eastAsia="方正仿宋简体" w:cs="Times New Roman"/>
          <w:sz w:val="32"/>
          <w:szCs w:val="32"/>
        </w:rPr>
        <w:t>教育支出1110.39万元，占总支出84.17%</w:t>
      </w:r>
      <w:bookmarkStart w:id="0" w:name="_Hlk46407013"/>
      <w:r>
        <w:rPr>
          <w:rFonts w:hint="eastAsia" w:ascii="方正仿宋简体" w:hAnsi="Calibri" w:eastAsia="方正仿宋简体" w:cs="Times New Roman"/>
          <w:sz w:val="32"/>
          <w:szCs w:val="32"/>
        </w:rPr>
        <w:t>； 社会保障和就业支出118.43万元</w:t>
      </w:r>
      <w:bookmarkEnd w:id="0"/>
      <w:r>
        <w:rPr>
          <w:rFonts w:hint="eastAsia" w:ascii="方正仿宋简体" w:hAnsi="Calibri" w:eastAsia="方正仿宋简体" w:cs="Times New Roman"/>
          <w:sz w:val="32"/>
          <w:szCs w:val="32"/>
        </w:rPr>
        <w:t>，占总支出8.98%</w:t>
      </w:r>
      <w:bookmarkStart w:id="1" w:name="_Hlk46407111"/>
      <w:r>
        <w:rPr>
          <w:rFonts w:hint="eastAsia" w:ascii="方正仿宋简体" w:hAnsi="Calibri" w:eastAsia="方正仿宋简体" w:cs="Times New Roman"/>
          <w:sz w:val="32"/>
          <w:szCs w:val="32"/>
        </w:rPr>
        <w:t>；卫生健康支出59.70万元</w:t>
      </w:r>
      <w:bookmarkEnd w:id="1"/>
      <w:r>
        <w:rPr>
          <w:rFonts w:hint="eastAsia" w:ascii="方正仿宋简体" w:hAnsi="Calibri" w:eastAsia="方正仿宋简体" w:cs="Times New Roman"/>
          <w:sz w:val="32"/>
          <w:szCs w:val="32"/>
        </w:rPr>
        <w:t>，占总支出4.52%；住房保障支出30.77万元，占总支出的2.33%。</w:t>
      </w:r>
    </w:p>
    <w:p>
      <w:pPr>
        <w:ind w:firstLine="640" w:firstLineChars="200"/>
        <w:rPr>
          <w:rFonts w:hint="eastAsia" w:ascii="方正仿宋简体" w:hAnsi="Calibri" w:eastAsia="方正仿宋简体" w:cs="Times New Roman"/>
          <w:sz w:val="32"/>
          <w:szCs w:val="32"/>
        </w:rPr>
      </w:pPr>
      <w:r>
        <w:rPr>
          <w:rFonts w:hint="eastAsia" w:ascii="方正仿宋简体" w:hAnsi="Calibri" w:eastAsia="方正仿宋简体" w:cs="Times New Roman"/>
          <w:sz w:val="32"/>
          <w:szCs w:val="32"/>
        </w:rPr>
        <w:t>（三）一般公共预算财政拨款支出决算情况说明</w:t>
      </w:r>
    </w:p>
    <w:p>
      <w:pPr>
        <w:ind w:firstLine="640" w:firstLineChars="200"/>
        <w:rPr>
          <w:rFonts w:hint="eastAsia" w:ascii="方正仿宋简体" w:hAnsi="Calibri" w:eastAsia="方正仿宋简体" w:cs="Times New Roman"/>
          <w:sz w:val="32"/>
          <w:szCs w:val="32"/>
        </w:rPr>
      </w:pPr>
      <w:r>
        <w:rPr>
          <w:rFonts w:hint="eastAsia" w:ascii="方正仿宋简体" w:hAnsi="Calibri" w:eastAsia="方正仿宋简体" w:cs="Times New Roman"/>
          <w:sz w:val="32"/>
          <w:szCs w:val="32"/>
        </w:rPr>
        <w:t>（1）教育支出（类）普通教育（款）初中教育（项）1110.39万元。</w:t>
      </w:r>
    </w:p>
    <w:p>
      <w:pPr>
        <w:ind w:firstLine="640" w:firstLineChars="200"/>
        <w:rPr>
          <w:rFonts w:hint="eastAsia" w:ascii="方正仿宋简体" w:hAnsi="Calibri" w:eastAsia="方正仿宋简体" w:cs="Times New Roman"/>
          <w:sz w:val="32"/>
          <w:szCs w:val="32"/>
        </w:rPr>
      </w:pPr>
      <w:r>
        <w:rPr>
          <w:rFonts w:hint="eastAsia" w:ascii="方正仿宋简体" w:hAnsi="Calibri" w:eastAsia="方正仿宋简体" w:cs="Times New Roman"/>
          <w:sz w:val="32"/>
          <w:szCs w:val="32"/>
        </w:rPr>
        <w:t>（2）社会保障和就业支出（类）行政事业单位养老支出（款）机关事业单位基本养老保险缴费支出（项）108.65万元；</w:t>
      </w:r>
    </w:p>
    <w:p>
      <w:pPr>
        <w:ind w:firstLine="640" w:firstLineChars="200"/>
        <w:rPr>
          <w:rFonts w:hint="eastAsia" w:ascii="方正仿宋简体" w:hAnsi="Calibri" w:eastAsia="方正仿宋简体" w:cs="Times New Roman"/>
          <w:sz w:val="32"/>
          <w:szCs w:val="32"/>
        </w:rPr>
      </w:pPr>
      <w:r>
        <w:rPr>
          <w:rFonts w:hint="eastAsia" w:ascii="方正仿宋简体" w:hAnsi="Calibri" w:eastAsia="方正仿宋简体" w:cs="Times New Roman"/>
          <w:sz w:val="32"/>
          <w:szCs w:val="32"/>
        </w:rPr>
        <w:t>（3）社会保障和就业支出（类）财政对基本养老保险基金的补助（款）机关事业单位基本养老保险缴费支出（项）5.23万元；</w:t>
      </w:r>
    </w:p>
    <w:p>
      <w:pPr>
        <w:ind w:firstLine="640" w:firstLineChars="200"/>
        <w:rPr>
          <w:rFonts w:hint="eastAsia" w:ascii="方正仿宋简体" w:hAnsi="Calibri" w:eastAsia="方正仿宋简体" w:cs="Times New Roman"/>
          <w:sz w:val="32"/>
          <w:szCs w:val="32"/>
        </w:rPr>
      </w:pPr>
      <w:r>
        <w:rPr>
          <w:rFonts w:hint="eastAsia" w:ascii="方正仿宋简体" w:hAnsi="Calibri" w:eastAsia="方正仿宋简体" w:cs="Times New Roman"/>
          <w:sz w:val="32"/>
          <w:szCs w:val="32"/>
        </w:rPr>
        <w:t>（4）社会保障和就业支出（类）财政对其他社会保险基金的补助（款）财政对失业保险基金的补助（项）3.57万元；</w:t>
      </w:r>
    </w:p>
    <w:p>
      <w:pPr>
        <w:ind w:firstLine="640" w:firstLineChars="200"/>
        <w:rPr>
          <w:rFonts w:hint="eastAsia" w:ascii="方正仿宋简体" w:hAnsi="Calibri" w:eastAsia="方正仿宋简体" w:cs="Times New Roman"/>
          <w:sz w:val="32"/>
          <w:szCs w:val="32"/>
        </w:rPr>
      </w:pPr>
      <w:r>
        <w:rPr>
          <w:rFonts w:hint="eastAsia" w:ascii="方正仿宋简体" w:hAnsi="Calibri" w:eastAsia="方正仿宋简体" w:cs="Times New Roman"/>
          <w:sz w:val="32"/>
          <w:szCs w:val="32"/>
        </w:rPr>
        <w:t>（5）社会保障和就业支出（类）财政对其他社会保险基金的补助（款）财政对工伤保险基金的补助（项）0.98万元；</w:t>
      </w:r>
    </w:p>
    <w:p>
      <w:pPr>
        <w:ind w:firstLine="640" w:firstLineChars="200"/>
        <w:rPr>
          <w:rFonts w:hint="eastAsia" w:ascii="方正仿宋简体" w:hAnsi="Calibri" w:eastAsia="方正仿宋简体" w:cs="Times New Roman"/>
          <w:sz w:val="32"/>
          <w:szCs w:val="32"/>
        </w:rPr>
      </w:pPr>
      <w:r>
        <w:rPr>
          <w:rFonts w:hint="eastAsia" w:ascii="方正仿宋简体" w:hAnsi="Calibri" w:eastAsia="方正仿宋简体" w:cs="Times New Roman"/>
          <w:sz w:val="32"/>
          <w:szCs w:val="32"/>
        </w:rPr>
        <w:t>（6）卫生健康支出（类）财政对基本医疗保险基金的补助（款）财政对职工基本医疗保险基金的补助（项）59.70万元。</w:t>
      </w:r>
    </w:p>
    <w:p>
      <w:pPr>
        <w:ind w:firstLine="640" w:firstLineChars="200"/>
        <w:rPr>
          <w:rFonts w:hint="eastAsia" w:ascii="方正仿宋简体" w:hAnsi="Calibri" w:eastAsia="方正仿宋简体" w:cs="Times New Roman"/>
          <w:sz w:val="32"/>
          <w:szCs w:val="32"/>
        </w:rPr>
      </w:pPr>
      <w:r>
        <w:rPr>
          <w:rFonts w:hint="eastAsia" w:ascii="方正仿宋简体" w:hAnsi="Calibri" w:eastAsia="方正仿宋简体" w:cs="Times New Roman"/>
          <w:sz w:val="32"/>
          <w:szCs w:val="32"/>
        </w:rPr>
        <w:t>（7）住房保障支出（类）住房改革支出（款）住房公积金（项）30.77万元。</w:t>
      </w:r>
    </w:p>
    <w:p>
      <w:pPr>
        <w:rPr>
          <w:rFonts w:hint="eastAsia" w:ascii="黑体" w:hAnsi="宋体" w:eastAsia="黑体" w:cs="Times New Roman"/>
          <w:b/>
          <w:color w:val="auto"/>
          <w:sz w:val="32"/>
          <w:szCs w:val="32"/>
        </w:rPr>
      </w:pPr>
      <w:r>
        <w:rPr>
          <w:rFonts w:hint="eastAsia" w:ascii="黑体" w:hAnsi="宋体" w:eastAsia="黑体" w:cs="Times New Roman"/>
          <w:b/>
          <w:color w:val="auto"/>
          <w:sz w:val="32"/>
          <w:szCs w:val="32"/>
        </w:rPr>
        <w:t>五、2021年度“三公”经费预决算情况说明</w:t>
      </w:r>
    </w:p>
    <w:p>
      <w:pPr>
        <w:jc w:val="center"/>
        <w:rPr>
          <w:rFonts w:hint="eastAsia" w:ascii="方正小标宋简体" w:hAnsi="宋体" w:eastAsia="方正小标宋简体" w:cs="Times New Roman"/>
          <w:sz w:val="32"/>
          <w:szCs w:val="32"/>
        </w:rPr>
      </w:pPr>
      <w:r>
        <w:rPr>
          <w:rFonts w:hint="eastAsia" w:ascii="方正小标宋简体" w:hAnsi="宋体" w:eastAsia="方正小标宋简体" w:cs="Times New Roman"/>
          <w:sz w:val="32"/>
          <w:szCs w:val="32"/>
        </w:rPr>
        <w:t>朗县中学2021年“三公”经费情况表</w:t>
      </w:r>
    </w:p>
    <w:p>
      <w:pPr>
        <w:spacing w:beforeLines="50" w:afterLines="50"/>
        <w:ind w:firstLine="200"/>
        <w:jc w:val="center"/>
        <w:rPr>
          <w:rFonts w:ascii="宋体" w:hAnsi="宋体" w:eastAsia="宋体" w:cs="仿宋_GB2312"/>
          <w:sz w:val="28"/>
          <w:szCs w:val="28"/>
        </w:rPr>
      </w:pPr>
      <w:r>
        <w:rPr>
          <w:rFonts w:hint="eastAsia" w:ascii="宋体" w:hAnsi="宋体" w:eastAsia="宋体" w:cs="仿宋_GB2312"/>
          <w:sz w:val="28"/>
          <w:szCs w:val="28"/>
        </w:rPr>
        <w:t xml:space="preserve">                                        单位:万元</w:t>
      </w:r>
    </w:p>
    <w:tbl>
      <w:tblPr>
        <w:tblStyle w:val="5"/>
        <w:tblW w:w="9998" w:type="dxa"/>
        <w:jc w:val="center"/>
        <w:tblLayout w:type="fixed"/>
        <w:tblCellMar>
          <w:top w:w="0" w:type="dxa"/>
          <w:left w:w="108" w:type="dxa"/>
          <w:bottom w:w="0" w:type="dxa"/>
          <w:right w:w="108" w:type="dxa"/>
        </w:tblCellMar>
      </w:tblPr>
      <w:tblGrid>
        <w:gridCol w:w="5175"/>
        <w:gridCol w:w="2144"/>
        <w:gridCol w:w="2679"/>
      </w:tblGrid>
      <w:tr>
        <w:tblPrEx>
          <w:tblCellMar>
            <w:top w:w="0" w:type="dxa"/>
            <w:left w:w="108" w:type="dxa"/>
            <w:bottom w:w="0" w:type="dxa"/>
            <w:right w:w="108" w:type="dxa"/>
          </w:tblCellMar>
        </w:tblPrEx>
        <w:trPr>
          <w:trHeight w:val="581" w:hRule="exact"/>
          <w:jc w:val="center"/>
        </w:trPr>
        <w:tc>
          <w:tcPr>
            <w:tcW w:w="517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仿宋"/>
                <w:kern w:val="0"/>
                <w:sz w:val="28"/>
                <w:szCs w:val="28"/>
              </w:rPr>
            </w:pPr>
            <w:r>
              <w:rPr>
                <w:rFonts w:hint="eastAsia" w:ascii="宋体" w:hAnsi="宋体" w:eastAsia="宋体" w:cs="宋体"/>
                <w:kern w:val="0"/>
                <w:sz w:val="28"/>
                <w:szCs w:val="28"/>
              </w:rPr>
              <w:t>项目</w:t>
            </w:r>
          </w:p>
        </w:tc>
        <w:tc>
          <w:tcPr>
            <w:tcW w:w="2144"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2021年预算</w:t>
            </w:r>
          </w:p>
        </w:tc>
        <w:tc>
          <w:tcPr>
            <w:tcW w:w="2679"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2021年决算</w:t>
            </w:r>
          </w:p>
        </w:tc>
      </w:tr>
      <w:tr>
        <w:tblPrEx>
          <w:tblCellMar>
            <w:top w:w="0" w:type="dxa"/>
            <w:left w:w="108" w:type="dxa"/>
            <w:bottom w:w="0" w:type="dxa"/>
            <w:right w:w="108" w:type="dxa"/>
          </w:tblCellMar>
        </w:tblPrEx>
        <w:trPr>
          <w:trHeight w:val="581" w:hRule="exact"/>
          <w:jc w:val="center"/>
        </w:trPr>
        <w:tc>
          <w:tcPr>
            <w:tcW w:w="5175"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kern w:val="0"/>
                <w:sz w:val="28"/>
                <w:szCs w:val="28"/>
              </w:rPr>
            </w:pPr>
            <w:r>
              <w:rPr>
                <w:rFonts w:hint="eastAsia" w:ascii="宋体" w:hAnsi="宋体" w:eastAsia="宋体" w:cs="宋体"/>
                <w:kern w:val="0"/>
                <w:sz w:val="28"/>
                <w:szCs w:val="28"/>
              </w:rPr>
              <w:t>合计</w:t>
            </w:r>
          </w:p>
        </w:tc>
        <w:tc>
          <w:tcPr>
            <w:tcW w:w="2144"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 xml:space="preserve"> 2.03</w:t>
            </w:r>
          </w:p>
        </w:tc>
        <w:tc>
          <w:tcPr>
            <w:tcW w:w="2679"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 xml:space="preserve">2.03 </w:t>
            </w:r>
          </w:p>
        </w:tc>
      </w:tr>
      <w:tr>
        <w:tblPrEx>
          <w:tblCellMar>
            <w:top w:w="0" w:type="dxa"/>
            <w:left w:w="108" w:type="dxa"/>
            <w:bottom w:w="0" w:type="dxa"/>
            <w:right w:w="108" w:type="dxa"/>
          </w:tblCellMar>
        </w:tblPrEx>
        <w:trPr>
          <w:trHeight w:val="581" w:hRule="exact"/>
          <w:jc w:val="center"/>
        </w:trPr>
        <w:tc>
          <w:tcPr>
            <w:tcW w:w="5175"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kern w:val="0"/>
                <w:sz w:val="28"/>
                <w:szCs w:val="28"/>
              </w:rPr>
            </w:pPr>
            <w:r>
              <w:rPr>
                <w:rFonts w:hint="eastAsia" w:ascii="宋体" w:hAnsi="宋体" w:eastAsia="宋体" w:cs="宋体"/>
                <w:kern w:val="0"/>
                <w:sz w:val="28"/>
                <w:szCs w:val="28"/>
              </w:rPr>
              <w:t>1.因公出国（境）费</w:t>
            </w:r>
          </w:p>
        </w:tc>
        <w:tc>
          <w:tcPr>
            <w:tcW w:w="2144"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 xml:space="preserve"> 0 </w:t>
            </w:r>
          </w:p>
        </w:tc>
        <w:tc>
          <w:tcPr>
            <w:tcW w:w="2679"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0</w:t>
            </w:r>
          </w:p>
        </w:tc>
      </w:tr>
      <w:tr>
        <w:tblPrEx>
          <w:tblCellMar>
            <w:top w:w="0" w:type="dxa"/>
            <w:left w:w="108" w:type="dxa"/>
            <w:bottom w:w="0" w:type="dxa"/>
            <w:right w:w="108" w:type="dxa"/>
          </w:tblCellMar>
        </w:tblPrEx>
        <w:trPr>
          <w:trHeight w:val="581" w:hRule="exact"/>
          <w:jc w:val="center"/>
        </w:trPr>
        <w:tc>
          <w:tcPr>
            <w:tcW w:w="5175"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kern w:val="0"/>
                <w:sz w:val="28"/>
                <w:szCs w:val="28"/>
              </w:rPr>
            </w:pPr>
            <w:r>
              <w:rPr>
                <w:rFonts w:hint="eastAsia" w:ascii="宋体" w:hAnsi="宋体" w:eastAsia="宋体" w:cs="宋体"/>
                <w:kern w:val="0"/>
                <w:sz w:val="28"/>
                <w:szCs w:val="28"/>
              </w:rPr>
              <w:t>2.公务接待费</w:t>
            </w:r>
          </w:p>
        </w:tc>
        <w:tc>
          <w:tcPr>
            <w:tcW w:w="2144"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 xml:space="preserve"> 0</w:t>
            </w:r>
          </w:p>
        </w:tc>
        <w:tc>
          <w:tcPr>
            <w:tcW w:w="2679"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 xml:space="preserve">0 </w:t>
            </w:r>
          </w:p>
        </w:tc>
      </w:tr>
      <w:tr>
        <w:tblPrEx>
          <w:tblCellMar>
            <w:top w:w="0" w:type="dxa"/>
            <w:left w:w="108" w:type="dxa"/>
            <w:bottom w:w="0" w:type="dxa"/>
            <w:right w:w="108" w:type="dxa"/>
          </w:tblCellMar>
        </w:tblPrEx>
        <w:trPr>
          <w:trHeight w:val="581" w:hRule="exact"/>
          <w:jc w:val="center"/>
        </w:trPr>
        <w:tc>
          <w:tcPr>
            <w:tcW w:w="5175"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kern w:val="0"/>
                <w:sz w:val="28"/>
                <w:szCs w:val="28"/>
              </w:rPr>
            </w:pPr>
            <w:r>
              <w:rPr>
                <w:rFonts w:hint="eastAsia" w:ascii="宋体" w:hAnsi="宋体" w:eastAsia="宋体" w:cs="宋体"/>
                <w:kern w:val="0"/>
                <w:sz w:val="28"/>
                <w:szCs w:val="28"/>
              </w:rPr>
              <w:t>3.公务用车经费</w:t>
            </w:r>
          </w:p>
        </w:tc>
        <w:tc>
          <w:tcPr>
            <w:tcW w:w="2144"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 xml:space="preserve"> 2.03</w:t>
            </w:r>
          </w:p>
        </w:tc>
        <w:tc>
          <w:tcPr>
            <w:tcW w:w="2679"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2.03</w:t>
            </w:r>
          </w:p>
        </w:tc>
      </w:tr>
      <w:tr>
        <w:tblPrEx>
          <w:tblCellMar>
            <w:top w:w="0" w:type="dxa"/>
            <w:left w:w="108" w:type="dxa"/>
            <w:bottom w:w="0" w:type="dxa"/>
            <w:right w:w="108" w:type="dxa"/>
          </w:tblCellMar>
        </w:tblPrEx>
        <w:trPr>
          <w:trHeight w:val="581" w:hRule="exact"/>
          <w:jc w:val="center"/>
        </w:trPr>
        <w:tc>
          <w:tcPr>
            <w:tcW w:w="5175" w:type="dxa"/>
            <w:tcBorders>
              <w:top w:val="nil"/>
              <w:left w:val="single" w:color="auto" w:sz="4" w:space="0"/>
              <w:bottom w:val="single" w:color="auto" w:sz="4" w:space="0"/>
              <w:right w:val="single" w:color="auto" w:sz="4" w:space="0"/>
            </w:tcBorders>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其中：（1）公务用车运行维护费务用车运行维护费</w:t>
            </w:r>
          </w:p>
        </w:tc>
        <w:tc>
          <w:tcPr>
            <w:tcW w:w="214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 xml:space="preserve"> 2.03</w:t>
            </w:r>
          </w:p>
        </w:tc>
        <w:tc>
          <w:tcPr>
            <w:tcW w:w="267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kern w:val="0"/>
                <w:sz w:val="28"/>
                <w:szCs w:val="28"/>
              </w:rPr>
            </w:pPr>
            <w:r>
              <w:rPr>
                <w:rFonts w:hint="eastAsia" w:ascii="宋体" w:hAnsi="宋体" w:eastAsia="宋体" w:cs="宋体"/>
                <w:kern w:val="0"/>
                <w:sz w:val="28"/>
                <w:szCs w:val="28"/>
              </w:rPr>
              <w:t>2.03</w:t>
            </w:r>
          </w:p>
        </w:tc>
      </w:tr>
      <w:tr>
        <w:tblPrEx>
          <w:tblCellMar>
            <w:top w:w="0" w:type="dxa"/>
            <w:left w:w="108" w:type="dxa"/>
            <w:bottom w:w="0" w:type="dxa"/>
            <w:right w:w="108" w:type="dxa"/>
          </w:tblCellMar>
        </w:tblPrEx>
        <w:trPr>
          <w:trHeight w:val="591" w:hRule="exact"/>
          <w:jc w:val="center"/>
        </w:trPr>
        <w:tc>
          <w:tcPr>
            <w:tcW w:w="5175"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kern w:val="0"/>
                <w:sz w:val="28"/>
                <w:szCs w:val="28"/>
              </w:rPr>
            </w:pPr>
            <w:r>
              <w:rPr>
                <w:rFonts w:hint="eastAsia" w:ascii="宋体" w:hAnsi="宋体" w:eastAsia="宋体" w:cs="宋体"/>
                <w:kern w:val="0"/>
                <w:sz w:val="28"/>
                <w:szCs w:val="28"/>
              </w:rPr>
              <w:t>（2）公务用车购置</w:t>
            </w:r>
          </w:p>
        </w:tc>
        <w:tc>
          <w:tcPr>
            <w:tcW w:w="214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仿宋"/>
                <w:kern w:val="0"/>
                <w:sz w:val="28"/>
                <w:szCs w:val="28"/>
              </w:rPr>
            </w:pPr>
            <w:r>
              <w:rPr>
                <w:rFonts w:hint="eastAsia" w:ascii="仿宋" w:hAnsi="仿宋" w:eastAsia="仿宋" w:cs="仿宋"/>
                <w:kern w:val="0"/>
                <w:sz w:val="28"/>
                <w:szCs w:val="28"/>
              </w:rPr>
              <w:t>0</w:t>
            </w:r>
          </w:p>
        </w:tc>
        <w:tc>
          <w:tcPr>
            <w:tcW w:w="267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仿宋"/>
                <w:kern w:val="0"/>
                <w:sz w:val="28"/>
                <w:szCs w:val="28"/>
              </w:rPr>
            </w:pPr>
            <w:r>
              <w:rPr>
                <w:rFonts w:hint="eastAsia" w:ascii="仿宋" w:hAnsi="仿宋" w:eastAsia="仿宋" w:cs="仿宋"/>
                <w:kern w:val="0"/>
                <w:sz w:val="28"/>
                <w:szCs w:val="28"/>
              </w:rPr>
              <w:t>0</w:t>
            </w:r>
          </w:p>
        </w:tc>
      </w:tr>
    </w:tbl>
    <w:p>
      <w:pPr>
        <w:ind w:firstLine="640" w:firstLineChars="200"/>
        <w:rPr>
          <w:rFonts w:hint="eastAsia" w:ascii="方正仿宋简体" w:hAnsi="Calibri" w:eastAsia="方正仿宋简体" w:cs="Times New Roman"/>
          <w:sz w:val="32"/>
          <w:szCs w:val="32"/>
        </w:rPr>
      </w:pPr>
      <w:r>
        <w:rPr>
          <w:rFonts w:hint="eastAsia" w:ascii="方正仿宋简体" w:hAnsi="Calibri" w:eastAsia="方正仿宋简体" w:cs="Times New Roman"/>
          <w:sz w:val="32"/>
          <w:szCs w:val="32"/>
        </w:rPr>
        <w:t>2021年度“三公”经费共支出2.03万元，其中接待费0万元；公车运行维护费2.03万元，年底公务用车1辆。</w:t>
      </w:r>
      <w:r>
        <w:rPr>
          <w:rFonts w:hint="eastAsia" w:ascii="方正仿宋简体" w:hAnsi="Calibri" w:eastAsia="方正仿宋简体" w:cs="Times New Roman"/>
          <w:sz w:val="32"/>
          <w:szCs w:val="32"/>
          <w:lang w:val="en-US" w:eastAsia="zh-CN"/>
        </w:rPr>
        <w:t>2021年公车决算数2.03万元，与2021年预算数2.03万元相比无变动。与2020年决算数3.32万元相比，增减1.29万元，增幅61.14%。</w:t>
      </w:r>
      <w:r>
        <w:rPr>
          <w:rFonts w:hint="eastAsia" w:ascii="方正仿宋简体" w:hAnsi="Calibri" w:eastAsia="方正仿宋简体" w:cs="Times New Roman"/>
          <w:sz w:val="32"/>
          <w:szCs w:val="32"/>
        </w:rPr>
        <w:t>主要原因是单位经费紧张</w:t>
      </w:r>
      <w:r>
        <w:rPr>
          <w:rFonts w:hint="eastAsia" w:ascii="方正仿宋简体" w:hAnsi="Calibri" w:eastAsia="方正仿宋简体" w:cs="Times New Roman"/>
          <w:sz w:val="32"/>
          <w:szCs w:val="32"/>
          <w:lang w:eastAsia="zh-CN"/>
        </w:rPr>
        <w:t>，</w:t>
      </w:r>
      <w:r>
        <w:rPr>
          <w:rFonts w:hint="eastAsia" w:ascii="方正仿宋简体" w:hAnsi="Calibri" w:eastAsia="方正仿宋简体" w:cs="Times New Roman"/>
          <w:sz w:val="32"/>
          <w:szCs w:val="32"/>
        </w:rPr>
        <w:t>“三公”经费开支压缩，公车使用按照规定管理办法执行，厉行节约。</w:t>
      </w:r>
    </w:p>
    <w:p>
      <w:pPr>
        <w:rPr>
          <w:rFonts w:hint="eastAsia" w:ascii="黑体" w:hAnsi="宋体" w:eastAsia="黑体" w:cs="Times New Roman"/>
          <w:color w:val="auto"/>
          <w:sz w:val="32"/>
          <w:szCs w:val="32"/>
        </w:rPr>
      </w:pPr>
      <w:r>
        <w:rPr>
          <w:rFonts w:hint="eastAsia" w:ascii="黑体" w:hAnsi="黑体" w:eastAsia="黑体" w:cs="黑体"/>
          <w:bCs/>
          <w:sz w:val="32"/>
          <w:szCs w:val="32"/>
        </w:rPr>
        <w:t xml:space="preserve">    </w:t>
      </w:r>
      <w:r>
        <w:rPr>
          <w:rFonts w:hint="eastAsia" w:ascii="黑体" w:hAnsi="宋体" w:eastAsia="黑体" w:cs="Times New Roman"/>
          <w:color w:val="auto"/>
          <w:sz w:val="32"/>
          <w:szCs w:val="32"/>
        </w:rPr>
        <w:t>六、2021年度朗县中学运行情况说明</w:t>
      </w:r>
    </w:p>
    <w:p>
      <w:pPr>
        <w:spacing w:before="156" w:beforeLines="50" w:after="156" w:afterLines="50"/>
        <w:ind w:firstLine="640" w:firstLineChars="200"/>
        <w:jc w:val="left"/>
        <w:rPr>
          <w:rFonts w:hint="eastAsia" w:ascii="方正仿宋简体" w:hAnsi="宋体" w:eastAsia="方正仿宋简体" w:cs="宋体"/>
          <w:sz w:val="32"/>
          <w:szCs w:val="32"/>
        </w:rPr>
      </w:pPr>
      <w:r>
        <w:rPr>
          <w:rFonts w:hint="eastAsia" w:ascii="方正仿宋简体" w:hAnsi="宋体" w:eastAsia="方正仿宋简体" w:cs="宋体"/>
          <w:sz w:val="32"/>
          <w:szCs w:val="32"/>
        </w:rPr>
        <w:t>（一）2021年本部门履行一般行政事业管理职能、维护机关运行，用一般公共预算安排的教育经费合计</w:t>
      </w:r>
      <w:r>
        <w:rPr>
          <w:rFonts w:hint="eastAsia" w:ascii="方正仿宋简体" w:hAnsi="宋体" w:eastAsia="方正仿宋简体" w:cs="宋体"/>
          <w:sz w:val="32"/>
          <w:szCs w:val="32"/>
          <w:lang w:val="en-US" w:eastAsia="zh-CN"/>
        </w:rPr>
        <w:t>0</w:t>
      </w:r>
      <w:r>
        <w:rPr>
          <w:rFonts w:hint="eastAsia" w:ascii="方正仿宋简体" w:hAnsi="宋体" w:eastAsia="方正仿宋简体" w:cs="宋体"/>
          <w:sz w:val="32"/>
          <w:szCs w:val="32"/>
        </w:rPr>
        <w:t>万元</w:t>
      </w:r>
      <w:bookmarkStart w:id="2" w:name="_GoBack"/>
      <w:bookmarkEnd w:id="2"/>
      <w:r>
        <w:rPr>
          <w:rFonts w:hint="eastAsia" w:ascii="方正仿宋简体" w:hAnsi="宋体" w:eastAsia="方正仿宋简体" w:cs="宋体"/>
          <w:sz w:val="32"/>
          <w:szCs w:val="32"/>
        </w:rPr>
        <w:t xml:space="preserve">。   </w:t>
      </w:r>
    </w:p>
    <w:p>
      <w:pPr>
        <w:spacing w:before="156" w:beforeLines="50" w:after="156" w:afterLines="50"/>
        <w:ind w:firstLine="640" w:firstLineChars="200"/>
        <w:jc w:val="left"/>
        <w:rPr>
          <w:rFonts w:hint="eastAsia" w:ascii="方正仿宋简体" w:hAnsi="宋体" w:eastAsia="方正仿宋简体" w:cs="宋体"/>
          <w:sz w:val="32"/>
          <w:szCs w:val="32"/>
        </w:rPr>
      </w:pPr>
      <w:r>
        <w:rPr>
          <w:rFonts w:hint="eastAsia" w:ascii="方正仿宋简体" w:hAnsi="宋体" w:eastAsia="方正仿宋简体" w:cs="宋体"/>
          <w:sz w:val="32"/>
          <w:szCs w:val="32"/>
        </w:rPr>
        <w:t>（二）教育经费预算的内容</w:t>
      </w:r>
    </w:p>
    <w:p>
      <w:pPr>
        <w:spacing w:before="156" w:beforeLines="50" w:after="156" w:afterLines="50"/>
        <w:ind w:firstLine="640" w:firstLineChars="200"/>
        <w:jc w:val="left"/>
        <w:rPr>
          <w:rFonts w:hint="eastAsia" w:ascii="方正仿宋简体" w:hAnsi="宋体" w:eastAsia="方正仿宋简体" w:cs="宋体"/>
          <w:sz w:val="32"/>
          <w:szCs w:val="32"/>
        </w:rPr>
      </w:pPr>
      <w:r>
        <w:rPr>
          <w:rFonts w:hint="eastAsia" w:ascii="方正仿宋简体" w:hAnsi="宋体" w:eastAsia="方正仿宋简体" w:cs="宋体"/>
          <w:sz w:val="32"/>
          <w:szCs w:val="32"/>
        </w:rPr>
        <w:t>教育经费由基本支出和一般行政支出两部分组成：</w:t>
      </w:r>
    </w:p>
    <w:p>
      <w:pPr>
        <w:spacing w:before="156" w:beforeLines="50" w:after="156" w:afterLines="50"/>
        <w:ind w:firstLine="640" w:firstLineChars="200"/>
        <w:jc w:val="left"/>
        <w:rPr>
          <w:rFonts w:hint="eastAsia" w:ascii="方正仿宋简体" w:hAnsi="宋体" w:eastAsia="方正仿宋简体" w:cs="宋体"/>
          <w:sz w:val="32"/>
          <w:szCs w:val="32"/>
        </w:rPr>
      </w:pPr>
      <w:r>
        <w:rPr>
          <w:rFonts w:hint="eastAsia" w:ascii="方正仿宋简体" w:hAnsi="宋体" w:eastAsia="方正仿宋简体" w:cs="宋体"/>
          <w:sz w:val="32"/>
          <w:szCs w:val="32"/>
        </w:rPr>
        <w:t>1.基本支出，包括两部分：一部分是人员经费，具体包括工资、津贴及资金、医疗费、住房补贴等；二是日常公用经费，具体包括办公及印刷费、水电费、邮电费、交通费、差旅费、会议费、福利费、物业管理费、日常维修费、一般购置费等。</w:t>
      </w:r>
    </w:p>
    <w:p>
      <w:pPr>
        <w:spacing w:before="156" w:beforeLines="50" w:after="156" w:afterLines="50"/>
        <w:ind w:firstLine="640" w:firstLineChars="200"/>
        <w:jc w:val="left"/>
        <w:rPr>
          <w:rFonts w:hint="eastAsia" w:ascii="方正仿宋简体" w:hAnsi="宋体" w:eastAsia="方正仿宋简体" w:cs="宋体"/>
          <w:sz w:val="32"/>
          <w:szCs w:val="32"/>
        </w:rPr>
      </w:pPr>
      <w:r>
        <w:rPr>
          <w:rFonts w:hint="eastAsia" w:ascii="方正仿宋简体" w:hAnsi="宋体" w:eastAsia="方正仿宋简体" w:cs="宋体"/>
          <w:sz w:val="32"/>
          <w:szCs w:val="32"/>
        </w:rPr>
        <w:t>2.一般行政管理项目支出，包括招待费、会议费、购置费（包括设备、计算机等）、专用材料费、干部培训费、信息网络运行维护费等用于一般行政管理事务方面的项目支出。</w:t>
      </w:r>
    </w:p>
    <w:p>
      <w:pPr>
        <w:ind w:firstLine="640" w:firstLineChars="200"/>
        <w:rPr>
          <w:rFonts w:hint="eastAsia" w:ascii="黑体" w:hAnsi="宋体" w:eastAsia="黑体" w:cs="Times New Roman"/>
          <w:sz w:val="32"/>
          <w:szCs w:val="32"/>
        </w:rPr>
      </w:pPr>
      <w:r>
        <w:rPr>
          <w:rFonts w:hint="eastAsia" w:ascii="黑体" w:hAnsi="宋体" w:eastAsia="黑体" w:cs="Times New Roman"/>
          <w:sz w:val="32"/>
          <w:szCs w:val="32"/>
        </w:rPr>
        <w:t>七、政府采购情况说明</w:t>
      </w:r>
    </w:p>
    <w:p>
      <w:pPr>
        <w:ind w:firstLine="640" w:firstLineChars="200"/>
        <w:rPr>
          <w:rFonts w:hint="eastAsia" w:ascii="方正仿宋简体" w:hAnsi="宋体" w:eastAsia="方正仿宋简体" w:cs="宋体"/>
          <w:sz w:val="32"/>
          <w:szCs w:val="32"/>
        </w:rPr>
      </w:pPr>
      <w:r>
        <w:rPr>
          <w:rFonts w:hint="eastAsia" w:ascii="方正仿宋简体" w:hAnsi="宋体" w:eastAsia="方正仿宋简体" w:cs="宋体"/>
          <w:sz w:val="32"/>
          <w:szCs w:val="32"/>
        </w:rPr>
        <w:t>朗县中学2021年无政府采购。</w:t>
      </w:r>
    </w:p>
    <w:p>
      <w:pPr>
        <w:ind w:firstLine="627" w:firstLineChars="196"/>
        <w:rPr>
          <w:rFonts w:ascii="黑体" w:hAnsi="宋体" w:eastAsia="黑体" w:cs="Times New Roman"/>
          <w:sz w:val="32"/>
          <w:szCs w:val="32"/>
        </w:rPr>
      </w:pPr>
      <w:r>
        <w:rPr>
          <w:rFonts w:hint="eastAsia" w:ascii="黑体" w:hAnsi="宋体" w:eastAsia="黑体" w:cs="Times New Roman"/>
          <w:sz w:val="32"/>
          <w:szCs w:val="32"/>
        </w:rPr>
        <w:t>八．国有资产占有使用情况</w:t>
      </w:r>
    </w:p>
    <w:p>
      <w:pPr>
        <w:ind w:firstLine="640" w:firstLineChars="200"/>
        <w:rPr>
          <w:rFonts w:hint="eastAsia" w:ascii="方正仿宋简体" w:hAnsi="宋体" w:eastAsia="方正仿宋简体" w:cs="宋体"/>
          <w:sz w:val="32"/>
          <w:szCs w:val="32"/>
        </w:rPr>
      </w:pPr>
      <w:r>
        <w:rPr>
          <w:rFonts w:hint="eastAsia" w:ascii="方正仿宋简体" w:hAnsi="宋体" w:eastAsia="方正仿宋简体" w:cs="宋体"/>
          <w:sz w:val="32"/>
          <w:szCs w:val="32"/>
        </w:rPr>
        <w:t>截止2021年12月31日，朗县中学房屋面积9214平方米，价值1596万元，一般公务用车车辆1辆，价值8万元。</w:t>
      </w:r>
    </w:p>
    <w:p>
      <w:pPr>
        <w:spacing w:line="460" w:lineRule="exact"/>
        <w:ind w:firstLine="640" w:firstLineChars="200"/>
        <w:rPr>
          <w:rFonts w:ascii="方正仿宋简体" w:hAnsi="宋体" w:eastAsia="方正仿宋简体" w:cs="宋体"/>
          <w:sz w:val="32"/>
          <w:szCs w:val="32"/>
        </w:rPr>
      </w:pPr>
      <w:r>
        <w:rPr>
          <w:rFonts w:hint="eastAsia" w:ascii="黑体" w:hAnsi="宋体" w:eastAsia="黑体"/>
          <w:sz w:val="32"/>
          <w:szCs w:val="32"/>
        </w:rPr>
        <w:t>九、重点、重大项目信息及绩效及评价情况。</w:t>
      </w:r>
      <w:r>
        <w:rPr>
          <w:rFonts w:hint="eastAsia" w:ascii="方正仿宋简体" w:hAnsi="宋体" w:eastAsia="方正仿宋简体" w:cs="宋体"/>
          <w:sz w:val="32"/>
          <w:szCs w:val="32"/>
        </w:rPr>
        <w:t xml:space="preserve">  </w:t>
      </w:r>
    </w:p>
    <w:p>
      <w:pPr>
        <w:ind w:firstLine="640" w:firstLineChars="200"/>
        <w:rPr>
          <w:rFonts w:hint="eastAsia" w:ascii="方正仿宋简体" w:hAnsi="宋体" w:eastAsia="方正仿宋简体" w:cs="宋体"/>
          <w:sz w:val="32"/>
          <w:szCs w:val="32"/>
        </w:rPr>
      </w:pPr>
      <w:r>
        <w:rPr>
          <w:rFonts w:hint="eastAsia" w:ascii="方正仿宋简体" w:hAnsi="宋体" w:eastAsia="方正仿宋简体" w:cs="宋体"/>
          <w:sz w:val="32"/>
          <w:szCs w:val="32"/>
        </w:rPr>
        <w:t>朗县中学2021年无重点、重大项目，绩效评价工作正在开展。</w:t>
      </w:r>
    </w:p>
    <w:p>
      <w:pPr>
        <w:ind w:firstLine="640" w:firstLineChars="200"/>
        <w:rPr>
          <w:rFonts w:hint="eastAsia" w:ascii="方正仿宋简体" w:hAnsi="宋体" w:eastAsia="方正仿宋简体" w:cs="宋体"/>
          <w:sz w:val="32"/>
          <w:szCs w:val="32"/>
        </w:rPr>
      </w:pPr>
    </w:p>
    <w:p>
      <w:pPr>
        <w:ind w:firstLine="640" w:firstLineChars="200"/>
        <w:rPr>
          <w:rFonts w:ascii="方正仿宋简体" w:hAnsi="Times New Roman" w:eastAsia="方正仿宋简体" w:cs="Times New Roman"/>
          <w:sz w:val="32"/>
          <w:szCs w:val="32"/>
        </w:rPr>
      </w:pPr>
    </w:p>
    <w:p>
      <w:pPr>
        <w:ind w:firstLine="640" w:firstLineChars="200"/>
        <w:rPr>
          <w:rFonts w:ascii="方正仿宋简体" w:hAnsi="Times New Roman" w:eastAsia="方正仿宋简体" w:cs="Times New Roman"/>
          <w:sz w:val="32"/>
          <w:szCs w:val="32"/>
        </w:rPr>
      </w:pPr>
    </w:p>
    <w:p>
      <w:pPr>
        <w:ind w:firstLine="640" w:firstLineChars="200"/>
        <w:rPr>
          <w:rFonts w:ascii="方正仿宋简体" w:hAnsi="Times New Roman" w:eastAsia="方正仿宋简体" w:cs="Times New Roman"/>
          <w:sz w:val="32"/>
          <w:szCs w:val="32"/>
        </w:rPr>
      </w:pPr>
    </w:p>
    <w:p>
      <w:pPr>
        <w:ind w:firstLine="640" w:firstLineChars="200"/>
        <w:rPr>
          <w:rFonts w:ascii="方正仿宋简体" w:hAnsi="Times New Roman" w:eastAsia="方正仿宋简体" w:cs="Times New Roman"/>
          <w:sz w:val="32"/>
          <w:szCs w:val="32"/>
        </w:rPr>
      </w:pPr>
    </w:p>
    <w:p>
      <w:pPr>
        <w:ind w:firstLine="640" w:firstLineChars="200"/>
        <w:rPr>
          <w:rFonts w:ascii="方正仿宋简体" w:hAnsi="Times New Roman" w:eastAsia="方正仿宋简体" w:cs="Times New Roman"/>
          <w:sz w:val="32"/>
          <w:szCs w:val="32"/>
        </w:rPr>
      </w:pPr>
    </w:p>
    <w:p>
      <w:pPr>
        <w:rPr>
          <w:rFonts w:ascii="黑体" w:hAnsi="宋体" w:eastAsia="黑体" w:cs="Times New Roman"/>
          <w:sz w:val="48"/>
          <w:szCs w:val="48"/>
        </w:rPr>
      </w:pPr>
    </w:p>
    <w:p>
      <w:pPr>
        <w:rPr>
          <w:rFonts w:ascii="黑体" w:hAnsi="宋体" w:eastAsia="黑体" w:cs="Times New Roman"/>
          <w:sz w:val="48"/>
          <w:szCs w:val="48"/>
        </w:rPr>
      </w:pPr>
    </w:p>
    <w:p>
      <w:pPr>
        <w:rPr>
          <w:rFonts w:ascii="黑体" w:hAnsi="宋体" w:eastAsia="黑体" w:cs="Times New Roman"/>
          <w:sz w:val="48"/>
          <w:szCs w:val="48"/>
        </w:rPr>
      </w:pPr>
    </w:p>
    <w:p>
      <w:pPr>
        <w:rPr>
          <w:rFonts w:ascii="黑体" w:hAnsi="宋体" w:eastAsia="黑体" w:cs="Times New Roman"/>
          <w:sz w:val="48"/>
          <w:szCs w:val="48"/>
        </w:rPr>
      </w:pPr>
    </w:p>
    <w:p>
      <w:pPr>
        <w:rPr>
          <w:rFonts w:ascii="黑体" w:hAnsi="宋体" w:eastAsia="黑体" w:cs="Times New Roman"/>
          <w:sz w:val="48"/>
          <w:szCs w:val="48"/>
        </w:rPr>
      </w:pPr>
    </w:p>
    <w:p>
      <w:pPr>
        <w:jc w:val="center"/>
        <w:rPr>
          <w:rFonts w:ascii="黑体" w:hAnsi="宋体" w:eastAsia="黑体" w:cs="Times New Roman"/>
          <w:sz w:val="48"/>
          <w:szCs w:val="48"/>
        </w:rPr>
      </w:pPr>
      <w:r>
        <w:rPr>
          <w:rFonts w:hint="eastAsia" w:ascii="黑体" w:hAnsi="宋体" w:eastAsia="黑体" w:cs="Times New Roman"/>
          <w:sz w:val="48"/>
          <w:szCs w:val="48"/>
        </w:rPr>
        <w:t>第四部分名词解释</w:t>
      </w:r>
    </w:p>
    <w:p>
      <w:pPr>
        <w:jc w:val="center"/>
        <w:rPr>
          <w:rFonts w:ascii="黑体" w:hAnsi="宋体" w:eastAsia="黑体" w:cs="Times New Roman"/>
          <w:sz w:val="48"/>
          <w:szCs w:val="48"/>
        </w:rPr>
      </w:pPr>
    </w:p>
    <w:p>
      <w:pPr>
        <w:jc w:val="center"/>
        <w:rPr>
          <w:rFonts w:ascii="黑体" w:hAnsi="宋体" w:eastAsia="黑体" w:cs="Times New Roman"/>
          <w:sz w:val="48"/>
          <w:szCs w:val="48"/>
        </w:rPr>
      </w:pPr>
    </w:p>
    <w:p>
      <w:pPr>
        <w:jc w:val="center"/>
        <w:rPr>
          <w:rFonts w:ascii="黑体" w:hAnsi="宋体" w:eastAsia="黑体" w:cs="Times New Roman"/>
          <w:sz w:val="48"/>
          <w:szCs w:val="48"/>
        </w:rPr>
      </w:pPr>
    </w:p>
    <w:p>
      <w:pPr>
        <w:rPr>
          <w:rFonts w:ascii="黑体" w:hAnsi="宋体" w:eastAsia="黑体" w:cs="Times New Roman"/>
          <w:sz w:val="48"/>
          <w:szCs w:val="48"/>
        </w:rPr>
      </w:pPr>
    </w:p>
    <w:p>
      <w:pPr>
        <w:rPr>
          <w:rFonts w:ascii="黑体" w:hAnsi="宋体" w:eastAsia="黑体" w:cs="Times New Roman"/>
          <w:sz w:val="48"/>
          <w:szCs w:val="48"/>
        </w:rPr>
      </w:pPr>
    </w:p>
    <w:p>
      <w:pPr>
        <w:numPr>
          <w:ilvl w:val="0"/>
          <w:numId w:val="0"/>
        </w:numPr>
        <w:ind w:firstLine="640" w:firstLineChars="200"/>
        <w:rPr>
          <w:rFonts w:hint="eastAsia" w:ascii="方正仿宋简体" w:hAnsi="宋体" w:eastAsia="方正仿宋简体" w:cs="宋体"/>
          <w:sz w:val="32"/>
          <w:szCs w:val="32"/>
          <w:lang w:eastAsia="zh-CN"/>
        </w:rPr>
      </w:pPr>
      <w:r>
        <w:rPr>
          <w:rFonts w:hint="eastAsia" w:ascii="方正仿宋简体" w:hAnsi="宋体" w:eastAsia="方正仿宋简体" w:cs="宋体"/>
          <w:sz w:val="32"/>
          <w:szCs w:val="32"/>
          <w:lang w:eastAsia="zh-CN"/>
        </w:rPr>
        <w:t>一、财政拨款收入，指中央财政当年拨付的资金。</w:t>
      </w:r>
    </w:p>
    <w:p>
      <w:pPr>
        <w:numPr>
          <w:ilvl w:val="0"/>
          <w:numId w:val="0"/>
        </w:numPr>
        <w:ind w:firstLine="640" w:firstLineChars="200"/>
        <w:rPr>
          <w:rFonts w:hint="eastAsia" w:ascii="方正仿宋简体" w:hAnsi="宋体" w:eastAsia="方正仿宋简体" w:cs="宋体"/>
          <w:sz w:val="32"/>
          <w:szCs w:val="32"/>
          <w:lang w:eastAsia="zh-CN"/>
        </w:rPr>
      </w:pPr>
      <w:r>
        <w:rPr>
          <w:rFonts w:hint="eastAsia" w:ascii="方正仿宋简体" w:hAnsi="宋体" w:eastAsia="方正仿宋简体" w:cs="宋体"/>
          <w:sz w:val="32"/>
          <w:szCs w:val="32"/>
          <w:lang w:eastAsia="zh-CN"/>
        </w:rPr>
        <w:t>二、其他收入，指上述“财政拨款收入”以外的收入，主要是按规定动用的售房收入、存款利息收入等。</w:t>
      </w:r>
    </w:p>
    <w:p>
      <w:pPr>
        <w:numPr>
          <w:ilvl w:val="0"/>
          <w:numId w:val="0"/>
        </w:numPr>
        <w:ind w:firstLine="640" w:firstLineChars="200"/>
        <w:rPr>
          <w:rFonts w:hint="eastAsia" w:ascii="方正仿宋简体" w:hAnsi="宋体" w:eastAsia="方正仿宋简体" w:cs="宋体"/>
          <w:sz w:val="32"/>
          <w:szCs w:val="32"/>
          <w:lang w:eastAsia="zh-CN"/>
        </w:rPr>
      </w:pPr>
      <w:r>
        <w:rPr>
          <w:rFonts w:hint="eastAsia" w:ascii="方正仿宋简体" w:hAnsi="宋体" w:eastAsia="方正仿宋简体" w:cs="宋体"/>
          <w:sz w:val="32"/>
          <w:szCs w:val="32"/>
          <w:lang w:eastAsia="zh-CN"/>
        </w:rPr>
        <w:t>三、上年结转，指以前年度尚未完成、结转到本年度仍按原规定用途继续使用的资金。</w:t>
      </w:r>
    </w:p>
    <w:p>
      <w:pPr>
        <w:numPr>
          <w:ilvl w:val="0"/>
          <w:numId w:val="0"/>
        </w:numPr>
        <w:ind w:firstLine="640" w:firstLineChars="200"/>
        <w:rPr>
          <w:rFonts w:hint="eastAsia" w:ascii="方正仿宋简体" w:hAnsi="宋体" w:eastAsia="方正仿宋简体" w:cs="宋体"/>
          <w:sz w:val="32"/>
          <w:szCs w:val="32"/>
          <w:lang w:eastAsia="zh-CN"/>
        </w:rPr>
      </w:pPr>
      <w:r>
        <w:rPr>
          <w:rFonts w:hint="eastAsia" w:ascii="方正仿宋简体" w:hAnsi="宋体" w:eastAsia="方正仿宋简体" w:cs="宋体"/>
          <w:sz w:val="32"/>
          <w:szCs w:val="32"/>
          <w:lang w:eastAsia="zh-CN"/>
        </w:rPr>
        <w:t>四、教育支出，指用于由教育行政人员经费支出。</w:t>
      </w:r>
    </w:p>
    <w:p>
      <w:pPr>
        <w:numPr>
          <w:ilvl w:val="0"/>
          <w:numId w:val="0"/>
        </w:numPr>
        <w:ind w:firstLine="640" w:firstLineChars="200"/>
        <w:rPr>
          <w:rFonts w:hint="eastAsia" w:ascii="方正仿宋简体" w:hAnsi="宋体" w:eastAsia="方正仿宋简体" w:cs="宋体"/>
          <w:sz w:val="32"/>
          <w:szCs w:val="32"/>
          <w:lang w:eastAsia="zh-CN"/>
        </w:rPr>
      </w:pPr>
      <w:r>
        <w:rPr>
          <w:rFonts w:hint="eastAsia" w:ascii="方正仿宋简体" w:hAnsi="宋体" w:eastAsia="方正仿宋简体" w:cs="宋体"/>
          <w:sz w:val="32"/>
          <w:szCs w:val="32"/>
          <w:lang w:eastAsia="zh-CN"/>
        </w:rPr>
        <w:t>五、社会保障和就业（类）行政事业单位离退休（款），指用于国务院办公厅机关和国务院研究室离退休人员的经费及离退休人员管理机构的支出。</w:t>
      </w:r>
    </w:p>
    <w:p>
      <w:pPr>
        <w:numPr>
          <w:ilvl w:val="0"/>
          <w:numId w:val="0"/>
        </w:numPr>
        <w:ind w:firstLine="640" w:firstLineChars="200"/>
        <w:rPr>
          <w:rFonts w:hint="eastAsia" w:ascii="方正仿宋简体" w:hAnsi="宋体" w:eastAsia="方正仿宋简体" w:cs="宋体"/>
          <w:sz w:val="32"/>
          <w:szCs w:val="32"/>
          <w:lang w:eastAsia="zh-CN"/>
        </w:rPr>
      </w:pPr>
      <w:r>
        <w:rPr>
          <w:rFonts w:hint="eastAsia" w:ascii="方正仿宋简体" w:hAnsi="宋体" w:eastAsia="方正仿宋简体" w:cs="宋体"/>
          <w:sz w:val="32"/>
          <w:szCs w:val="32"/>
          <w:lang w:eastAsia="zh-CN"/>
        </w:rPr>
        <w:t>六、住房保障支出（类）住房改革支出（款），指国务院办公厅机关和国务院研究室按照国家政策规定用于住房改革方面的支出。</w:t>
      </w:r>
    </w:p>
    <w:p>
      <w:pPr>
        <w:numPr>
          <w:ilvl w:val="0"/>
          <w:numId w:val="0"/>
        </w:numPr>
        <w:ind w:firstLine="640" w:firstLineChars="200"/>
        <w:rPr>
          <w:rFonts w:hint="eastAsia" w:ascii="方正仿宋简体" w:hAnsi="宋体" w:eastAsia="方正仿宋简体" w:cs="宋体"/>
          <w:sz w:val="32"/>
          <w:szCs w:val="32"/>
          <w:lang w:eastAsia="zh-CN"/>
        </w:rPr>
      </w:pPr>
      <w:r>
        <w:rPr>
          <w:rFonts w:hint="eastAsia" w:ascii="方正仿宋简体" w:hAnsi="宋体" w:eastAsia="方正仿宋简体" w:cs="宋体"/>
          <w:sz w:val="32"/>
          <w:szCs w:val="32"/>
          <w:lang w:eastAsia="zh-CN"/>
        </w:rPr>
        <w:t>（一）住房公积金（项），是按照《住房公积金管理条例》的规定，由单位及其在职职工缴存的长期住房储金。该项政策始于上世纪九十年代中期，在全国机关、企事业单位在职职工中普遍实施，缴存比例最低不低于 5％，最高不超过 12％，缴存基数为职工本人上年工资，目前已实施近 20 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numPr>
          <w:ilvl w:val="0"/>
          <w:numId w:val="0"/>
        </w:numPr>
        <w:ind w:firstLine="640" w:firstLineChars="200"/>
        <w:rPr>
          <w:rFonts w:hint="eastAsia" w:ascii="方正仿宋简体" w:hAnsi="宋体" w:eastAsia="方正仿宋简体" w:cs="宋体"/>
          <w:sz w:val="32"/>
          <w:szCs w:val="32"/>
          <w:lang w:eastAsia="zh-CN"/>
        </w:rPr>
      </w:pPr>
      <w:r>
        <w:rPr>
          <w:rFonts w:hint="eastAsia" w:ascii="方正仿宋简体" w:hAnsi="宋体" w:eastAsia="方正仿宋简体" w:cs="宋体"/>
          <w:sz w:val="32"/>
          <w:szCs w:val="32"/>
          <w:lang w:eastAsia="zh-CN"/>
        </w:rPr>
        <w:t>（二）提租补贴（项），是经国务院批准，于2000年开始针对在中央单位公有住房租金标准提高发放的补贴，在京中央单位按照在职在编职工人数和离退休人数以及相应职级的补贴标准确定，人均月补贴90元。</w:t>
      </w:r>
    </w:p>
    <w:p>
      <w:pPr>
        <w:numPr>
          <w:ilvl w:val="0"/>
          <w:numId w:val="0"/>
        </w:numPr>
        <w:ind w:firstLine="640" w:firstLineChars="200"/>
        <w:rPr>
          <w:rFonts w:hint="eastAsia" w:ascii="方正仿宋简体" w:hAnsi="宋体" w:eastAsia="方正仿宋简体" w:cs="宋体"/>
          <w:sz w:val="32"/>
          <w:szCs w:val="32"/>
          <w:lang w:eastAsia="zh-CN"/>
        </w:rPr>
      </w:pPr>
      <w:r>
        <w:rPr>
          <w:rFonts w:hint="eastAsia" w:ascii="方正仿宋简体" w:hAnsi="宋体" w:eastAsia="方正仿宋简体" w:cs="宋体"/>
          <w:sz w:val="32"/>
          <w:szCs w:val="32"/>
          <w:lang w:eastAsia="zh-CN"/>
        </w:rPr>
        <w:t>（三）购房补贴（项），是根据《国务院关于进一步深化城镇住房制度改革加快住房建设的通知》（国发〔1998〕23 号）的规定，从1998年下半年停止实物分房后，房价收入比超过4倍以上地区对无房和住房未达标职工发放的住房货币化改革补贴资金。中央行政事业单位从2000年开始发放购房补贴资金，地方行政事业单位从1999年陆续开始发放购房补贴资金，企业根据本单位情况自行确定。在京中央单位按照《中共中央办公厅 国务院办公厅转发建设部等单位&lt;关于完善在京中央和国家机关住房制度的若干意见&gt;的通知》规定的标准执行，京外中央单位按照所在地人民政府住房分配货币化改革的政策规定和标准执行。</w:t>
      </w:r>
    </w:p>
    <w:p>
      <w:pPr>
        <w:numPr>
          <w:ilvl w:val="0"/>
          <w:numId w:val="0"/>
        </w:numPr>
        <w:ind w:firstLine="640" w:firstLineChars="200"/>
        <w:rPr>
          <w:rFonts w:hint="eastAsia" w:ascii="方正仿宋简体" w:hAnsi="宋体" w:eastAsia="方正仿宋简体" w:cs="宋体"/>
          <w:sz w:val="32"/>
          <w:szCs w:val="32"/>
          <w:lang w:eastAsia="zh-CN"/>
        </w:rPr>
      </w:pPr>
      <w:r>
        <w:rPr>
          <w:rFonts w:hint="eastAsia" w:ascii="方正仿宋简体" w:hAnsi="宋体" w:eastAsia="方正仿宋简体" w:cs="宋体"/>
          <w:sz w:val="32"/>
          <w:szCs w:val="32"/>
          <w:lang w:eastAsia="zh-CN"/>
        </w:rPr>
        <w:t>七、基本支出，指为保障机构正常运转，完成日常工作任务而发生的人员支出和公用支出。</w:t>
      </w:r>
    </w:p>
    <w:p>
      <w:pPr>
        <w:numPr>
          <w:ilvl w:val="0"/>
          <w:numId w:val="0"/>
        </w:numPr>
        <w:ind w:firstLine="640" w:firstLineChars="200"/>
        <w:rPr>
          <w:rFonts w:hint="eastAsia" w:ascii="方正仿宋简体" w:hAnsi="宋体" w:eastAsia="方正仿宋简体" w:cs="宋体"/>
          <w:sz w:val="32"/>
          <w:szCs w:val="32"/>
          <w:lang w:eastAsia="zh-CN"/>
        </w:rPr>
      </w:pPr>
      <w:r>
        <w:rPr>
          <w:rFonts w:hint="eastAsia" w:ascii="方正仿宋简体" w:hAnsi="宋体" w:eastAsia="方正仿宋简体" w:cs="宋体"/>
          <w:sz w:val="32"/>
          <w:szCs w:val="32"/>
          <w:lang w:eastAsia="zh-CN"/>
        </w:rPr>
        <w:t>八、项目支出，指在基本支出之外为完成特定行政任务和事业发展目标所发生的支出。</w:t>
      </w:r>
    </w:p>
    <w:p>
      <w:pPr>
        <w:numPr>
          <w:ilvl w:val="0"/>
          <w:numId w:val="0"/>
        </w:numPr>
        <w:ind w:firstLine="640" w:firstLineChars="200"/>
        <w:rPr>
          <w:rFonts w:hint="eastAsia" w:ascii="方正仿宋简体" w:hAnsi="宋体" w:eastAsia="方正仿宋简体" w:cs="宋体"/>
          <w:sz w:val="32"/>
          <w:szCs w:val="32"/>
          <w:lang w:eastAsia="zh-CN"/>
        </w:rPr>
      </w:pPr>
      <w:r>
        <w:rPr>
          <w:rFonts w:hint="eastAsia" w:ascii="方正仿宋简体" w:hAnsi="宋体" w:eastAsia="方正仿宋简体" w:cs="宋体"/>
          <w:sz w:val="32"/>
          <w:szCs w:val="32"/>
          <w:lang w:eastAsia="zh-CN"/>
        </w:rPr>
        <w:t>九、“三公”经费，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numPr>
          <w:ilvl w:val="0"/>
          <w:numId w:val="0"/>
        </w:numPr>
        <w:ind w:firstLine="640" w:firstLineChars="200"/>
        <w:rPr>
          <w:rFonts w:hint="eastAsia" w:ascii="方正仿宋简体" w:hAnsi="宋体" w:eastAsia="方正仿宋简体" w:cs="宋体"/>
          <w:sz w:val="32"/>
          <w:szCs w:val="32"/>
          <w:lang w:eastAsia="zh-CN"/>
        </w:rPr>
      </w:pPr>
      <w:r>
        <w:rPr>
          <w:rFonts w:hint="eastAsia" w:ascii="方正仿宋简体" w:hAnsi="宋体" w:eastAsia="方正仿宋简体" w:cs="宋体"/>
          <w:sz w:val="32"/>
          <w:szCs w:val="32"/>
          <w:lang w:eastAsia="zh-CN"/>
        </w:rPr>
        <w:t>十、机关运行经费，指为保障行政单位（包括参照公务员法管理的事业单位）运行用于购买货物和服务的各项资金，包括办公及印刷费、邮电费、差旅费、会议费、福利费、维修（护）费、专用材料及一般设备购置费、办公用房水电费、办公用房取暖费、办公用房物业管理费、公务用车运行维护费以及其他费用。</w:t>
      </w:r>
    </w:p>
    <w:p>
      <w:pPr>
        <w:numPr>
          <w:ilvl w:val="0"/>
          <w:numId w:val="0"/>
        </w:numPr>
        <w:ind w:firstLine="640" w:firstLineChars="200"/>
        <w:rPr>
          <w:rFonts w:hint="eastAsia" w:ascii="方正仿宋简体" w:hAnsi="宋体" w:eastAsia="方正仿宋简体" w:cs="宋体"/>
          <w:sz w:val="32"/>
          <w:szCs w:val="32"/>
        </w:rPr>
      </w:pPr>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0000000000000000000"/>
    <w:charset w:val="86"/>
    <w:family w:val="script"/>
    <w:pitch w:val="default"/>
    <w:sig w:usb0="00000000" w:usb1="00000000" w:usb2="00000000" w:usb3="00000000" w:csb0="00040000" w:csb1="00000000"/>
  </w:font>
  <w:font w:name="方正仿宋简体">
    <w:altName w:val="微软雅黑"/>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PF6w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MHmWha3e&#10;WR6hozzero4BciaVoyidEuhOPGD2Up/6PYnD/ec5RT3+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xzxesMQIAAGMEAAAOAAAAAAAAAAEAIAAAAB8BAABkcnMvZTJvRG9jLnhtbFBLBQYA&#10;AAAABgAGAFkBAADCBQAAAAA=&#10;">
              <v:fill on="f" focussize="0,0"/>
              <v:stroke on="f" weight="0.5pt"/>
              <v:imagedata o:title=""/>
              <o:lock v:ext="edit" aspectratio="f"/>
              <v:textbox inset="0mm,0mm,0mm,0mm" style="mso-fit-shape-to-text:t;">
                <w:txbxContent>
                  <w:p>
                    <w:pPr>
                      <w:pStyle w:val="3"/>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M1MWI1N2MxMGZlODQ4ZjY1Yzg3ZDI1MjFhOWQ5NTkifQ=="/>
  </w:docVars>
  <w:rsids>
    <w:rsidRoot w:val="00000000"/>
    <w:rsid w:val="1B5C463D"/>
    <w:rsid w:val="2D471D74"/>
    <w:rsid w:val="508C7BE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6" w:lineRule="auto"/>
      <w:outlineLvl w:val="0"/>
    </w:pPr>
    <w:rPr>
      <w:b/>
      <w:kern w:val="44"/>
      <w:sz w:val="44"/>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emf"/><Relationship Id="rId8" Type="http://schemas.openxmlformats.org/officeDocument/2006/relationships/image" Target="media/image4.emf"/><Relationship Id="rId7" Type="http://schemas.openxmlformats.org/officeDocument/2006/relationships/image" Target="media/image3.emf"/><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8.emf"/><Relationship Id="rId11" Type="http://schemas.openxmlformats.org/officeDocument/2006/relationships/image" Target="media/image7.emf"/><Relationship Id="rId10" Type="http://schemas.openxmlformats.org/officeDocument/2006/relationships/image" Target="media/image6.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3549</Words>
  <Characters>3888</Characters>
  <Lines>0</Lines>
  <Paragraphs>0</Paragraphs>
  <TotalTime>5</TotalTime>
  <ScaleCrop>false</ScaleCrop>
  <LinksUpToDate>false</LinksUpToDate>
  <CharactersWithSpaces>4006</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xz</dc:creator>
  <cp:lastModifiedBy>Administrator</cp:lastModifiedBy>
  <cp:lastPrinted>2022-10-11T02:13:00Z</cp:lastPrinted>
  <dcterms:modified xsi:type="dcterms:W3CDTF">2022-10-11T02:55:04Z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871CCF5F955141FCA03173F3DFE0122F</vt:lpwstr>
  </property>
</Properties>
</file>