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朗县司法局</w:t>
      </w: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8</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朗县司法局是朗县人民政府组成部门，主要履行以下职能：</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承办县政府规章的解释工作。负责协调各乡（镇）各部门实施地方性法规、政府规章中的有关争议和问题。承办县政府规章清理、编纂工作，组织翻译审定政府规章藏文译本。负责组织开展政府规章的清理、备案审查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承担统筹推进法治政府建设的责任。指导、监督县政府各部门、各乡（镇）人民政府依法行政工作。负责综合协调行政执法，承担推进行政执法体制改革有关工作，推进严格规范公正文明执法。承办申请县政府裁决的行政复议案件工作。指导、监督全县行政复议和行政应诉工作，负责行政复议和应诉案件办理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担统筹规划全县法治社会建设的责任。负责拟订全县法治宣传教育规划，组织实施、督导检查全县普法宣传工作。推动人民参与和促进全县法治建设。指导依法治理和法治创建工作。指导调解工作和人民陪审员、人民监督员选任管理工作，推进司法所建设。</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4.负责指导、管理社区矫正工作。指导刑满释放人员帮教安置工作。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5.负责拟订全县公共法律服务体系建设规划并指导实施，统筹和布局城乡、区域法律服务资源。指导、监督律师、法律援助等法律服务管理工作。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6.负责规划和指导全县法律职业人员入职前培训工作。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7.负责全县司法行政系统枪支、弹药、警车、信息化建设等管理工作。指导、监督全县司法行政系统财务、装备、设施、场所、信息科技等保障工作。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8.规划、协调、指导全县法治人才队伍建设相关工作，指导、监督全县司法行政系统干部队伍建设。负责司法局机关、下属单位警务管理和综合督察工作。</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640" w:firstLineChars="200"/>
        <w:jc w:val="both"/>
        <w:textAlignment w:val="auto"/>
        <w:rPr>
          <w:rFonts w:ascii="仿宋" w:hAnsi="仿宋" w:eastAsia="仿宋"/>
          <w:sz w:val="32"/>
          <w:szCs w:val="32"/>
        </w:rPr>
      </w:pPr>
      <w:r>
        <w:rPr>
          <w:rFonts w:hint="eastAsia" w:ascii="仿宋_GB2312" w:hAnsi="仿宋_GB2312" w:eastAsia="仿宋_GB2312" w:cs="仿宋_GB2312"/>
          <w:color w:val="auto"/>
          <w:sz w:val="32"/>
          <w:szCs w:val="32"/>
          <w:lang w:val="en-US" w:eastAsia="zh-CN"/>
        </w:rPr>
        <w:t>9.完成县委、政府交办的其他任务。</w:t>
      </w:r>
    </w:p>
    <w:p>
      <w:pPr>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480" w:lineRule="atLeast"/>
        <w:ind w:firstLine="482"/>
        <w:jc w:val="both"/>
        <w:textAlignment w:val="auto"/>
        <w:rPr>
          <w:rFonts w:hint="eastAsia" w:ascii="仿宋_GB2312" w:hAnsi="仿宋_GB2312" w:eastAsia="仿宋_GB2312" w:cs="仿宋_GB2312"/>
          <w:color w:val="auto"/>
          <w:sz w:val="32"/>
          <w:szCs w:val="32"/>
        </w:rPr>
      </w:pPr>
      <w:r>
        <w:rPr>
          <w:rFonts w:hint="eastAsia" w:ascii="仿宋" w:hAnsi="仿宋" w:eastAsia="仿宋"/>
          <w:sz w:val="32"/>
          <w:szCs w:val="32"/>
        </w:rPr>
        <w:t>纳入本部门2021年部门预算编制范围的包括：</w:t>
      </w:r>
      <w:r>
        <w:rPr>
          <w:rFonts w:hint="eastAsia" w:ascii="仿宋_GB2312" w:hAnsi="仿宋_GB2312" w:eastAsia="仿宋_GB2312" w:cs="仿宋_GB2312"/>
          <w:color w:val="auto"/>
          <w:sz w:val="32"/>
          <w:szCs w:val="32"/>
        </w:rPr>
        <w:t>县法律援助中心。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朗县司法局</w:t>
      </w:r>
      <w:r>
        <w:rPr>
          <w:rFonts w:hint="eastAsia" w:ascii="方正小标宋简体" w:hAnsi="仿宋" w:eastAsia="方正小标宋简体"/>
          <w:sz w:val="32"/>
          <w:szCs w:val="32"/>
        </w:rPr>
        <w:t>2021年度部门预算数据分析</w:t>
      </w:r>
    </w:p>
    <w:p>
      <w:pPr>
        <w:jc w:val="center"/>
        <w:rPr>
          <w:rFonts w:ascii="黑体" w:hAnsi="黑体" w:eastAsia="黑体"/>
          <w:sz w:val="32"/>
          <w:szCs w:val="32"/>
        </w:rPr>
      </w:pP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一、2021年部门收支总表的说明</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330.46</w:t>
      </w:r>
      <w:r>
        <w:rPr>
          <w:rFonts w:hint="eastAsia" w:ascii="仿宋" w:hAnsi="仿宋" w:eastAsia="仿宋"/>
          <w:sz w:val="32"/>
          <w:szCs w:val="32"/>
        </w:rPr>
        <w:t>万元。收入包括：一般公共预算拨款收入；支出包括：公共安全支出</w:t>
      </w:r>
      <w:r>
        <w:rPr>
          <w:rFonts w:hint="eastAsia" w:ascii="仿宋" w:hAnsi="仿宋" w:eastAsia="仿宋"/>
          <w:sz w:val="32"/>
          <w:szCs w:val="32"/>
          <w:lang w:val="en-US" w:eastAsia="zh-CN"/>
        </w:rPr>
        <w:t>268.48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23.86</w:t>
      </w:r>
      <w:r>
        <w:rPr>
          <w:rFonts w:hint="eastAsia" w:ascii="仿宋" w:hAnsi="仿宋" w:eastAsia="仿宋"/>
          <w:sz w:val="32"/>
          <w:szCs w:val="32"/>
        </w:rPr>
        <w:t>万元、卫生健康支出</w:t>
      </w:r>
      <w:r>
        <w:rPr>
          <w:rFonts w:hint="eastAsia" w:ascii="仿宋" w:hAnsi="仿宋" w:eastAsia="仿宋"/>
          <w:sz w:val="32"/>
          <w:szCs w:val="32"/>
          <w:lang w:val="en-US" w:eastAsia="zh-CN"/>
        </w:rPr>
        <w:t>17.20</w:t>
      </w:r>
      <w:r>
        <w:rPr>
          <w:rFonts w:hint="eastAsia" w:ascii="仿宋" w:hAnsi="仿宋" w:eastAsia="仿宋"/>
          <w:sz w:val="32"/>
          <w:szCs w:val="32"/>
        </w:rPr>
        <w:t>万元、住房保障支出</w:t>
      </w:r>
      <w:r>
        <w:rPr>
          <w:rFonts w:hint="eastAsia" w:ascii="仿宋" w:hAnsi="仿宋" w:eastAsia="仿宋"/>
          <w:sz w:val="32"/>
          <w:szCs w:val="32"/>
          <w:lang w:val="en-US" w:eastAsia="zh-CN"/>
        </w:rPr>
        <w:t>20.92</w:t>
      </w:r>
      <w:r>
        <w:rPr>
          <w:rFonts w:hint="eastAsia" w:ascii="仿宋" w:hAnsi="仿宋" w:eastAsia="仿宋"/>
          <w:sz w:val="32"/>
          <w:szCs w:val="32"/>
        </w:rPr>
        <w:t>万元。</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二、2021年度部门收入总表的说明</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2021年收入预算</w:t>
      </w:r>
      <w:r>
        <w:rPr>
          <w:rFonts w:hint="eastAsia" w:ascii="仿宋" w:hAnsi="仿宋" w:eastAsia="仿宋"/>
          <w:sz w:val="32"/>
          <w:szCs w:val="32"/>
          <w:lang w:val="en-US" w:eastAsia="zh-CN"/>
        </w:rPr>
        <w:t>330.46</w:t>
      </w:r>
      <w:r>
        <w:rPr>
          <w:rFonts w:hint="eastAsia" w:ascii="仿宋" w:hAnsi="仿宋" w:eastAsia="仿宋"/>
          <w:sz w:val="32"/>
          <w:szCs w:val="32"/>
        </w:rPr>
        <w:t>万元，其中：一般公共预算拨款收</w:t>
      </w:r>
      <w:r>
        <w:rPr>
          <w:rFonts w:hint="eastAsia" w:ascii="仿宋" w:hAnsi="仿宋" w:eastAsia="仿宋"/>
          <w:sz w:val="32"/>
          <w:szCs w:val="32"/>
          <w:lang w:val="en-US" w:eastAsia="zh-CN"/>
        </w:rPr>
        <w:t>330.46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100%</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三、2021年部门支出总表的说明</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2021年支出预算</w:t>
      </w:r>
      <w:r>
        <w:rPr>
          <w:rFonts w:hint="eastAsia" w:ascii="仿宋" w:hAnsi="仿宋" w:eastAsia="仿宋"/>
          <w:sz w:val="32"/>
          <w:szCs w:val="32"/>
          <w:lang w:val="en-US" w:eastAsia="zh-CN"/>
        </w:rPr>
        <w:t>330.46</w:t>
      </w:r>
      <w:r>
        <w:rPr>
          <w:rFonts w:hint="eastAsia" w:ascii="仿宋" w:hAnsi="仿宋" w:eastAsia="仿宋"/>
          <w:sz w:val="32"/>
          <w:szCs w:val="32"/>
        </w:rPr>
        <w:t>万元，其中：基本支出</w:t>
      </w:r>
      <w:r>
        <w:rPr>
          <w:rFonts w:hint="eastAsia" w:ascii="仿宋" w:hAnsi="仿宋" w:eastAsia="仿宋"/>
          <w:sz w:val="32"/>
          <w:szCs w:val="32"/>
          <w:u w:val="none"/>
          <w:lang w:val="en-US" w:eastAsia="zh-CN"/>
        </w:rPr>
        <w:t>271.24</w:t>
      </w:r>
      <w:r>
        <w:rPr>
          <w:rFonts w:hint="eastAsia" w:ascii="仿宋" w:hAnsi="仿宋" w:eastAsia="仿宋"/>
          <w:sz w:val="32"/>
          <w:szCs w:val="32"/>
        </w:rPr>
        <w:t>万元，占</w:t>
      </w:r>
      <w:r>
        <w:rPr>
          <w:rFonts w:hint="eastAsia" w:ascii="仿宋" w:hAnsi="仿宋" w:eastAsia="仿宋"/>
          <w:sz w:val="32"/>
          <w:szCs w:val="32"/>
          <w:lang w:val="en-US" w:eastAsia="zh-CN"/>
        </w:rPr>
        <w:t>82.08</w:t>
      </w:r>
      <w:r>
        <w:rPr>
          <w:rFonts w:hint="eastAsia" w:ascii="仿宋" w:hAnsi="仿宋" w:eastAsia="仿宋"/>
          <w:sz w:val="32"/>
          <w:szCs w:val="32"/>
        </w:rPr>
        <w:t>%；项目支出</w:t>
      </w:r>
      <w:r>
        <w:rPr>
          <w:rFonts w:hint="eastAsia" w:ascii="仿宋" w:hAnsi="仿宋" w:eastAsia="仿宋"/>
          <w:sz w:val="32"/>
          <w:szCs w:val="32"/>
          <w:u w:val="none"/>
          <w:lang w:val="en-US" w:eastAsia="zh-CN"/>
        </w:rPr>
        <w:t>59.22</w:t>
      </w:r>
      <w:r>
        <w:rPr>
          <w:rFonts w:hint="eastAsia" w:ascii="仿宋" w:hAnsi="仿宋" w:eastAsia="仿宋"/>
          <w:sz w:val="32"/>
          <w:szCs w:val="32"/>
        </w:rPr>
        <w:t>万元，占</w:t>
      </w:r>
      <w:r>
        <w:rPr>
          <w:rFonts w:hint="eastAsia" w:ascii="仿宋" w:hAnsi="仿宋" w:eastAsia="仿宋"/>
          <w:sz w:val="32"/>
          <w:szCs w:val="32"/>
          <w:u w:val="none"/>
          <w:lang w:val="en-US" w:eastAsia="zh-CN"/>
        </w:rPr>
        <w:t>17.92</w:t>
      </w:r>
      <w:r>
        <w:rPr>
          <w:rFonts w:hint="eastAsia" w:ascii="仿宋" w:hAnsi="仿宋" w:eastAsia="仿宋"/>
          <w:sz w:val="32"/>
          <w:szCs w:val="32"/>
        </w:rPr>
        <w:t>%；</w:t>
      </w:r>
      <w:r>
        <w:rPr>
          <w:rFonts w:hint="eastAsia" w:ascii="仿宋" w:hAnsi="仿宋" w:eastAsia="仿宋"/>
          <w:sz w:val="32"/>
          <w:szCs w:val="32"/>
          <w:lang w:eastAsia="zh-CN"/>
        </w:rPr>
        <w:t>无</w:t>
      </w:r>
      <w:r>
        <w:rPr>
          <w:rFonts w:hint="eastAsia" w:ascii="仿宋" w:hAnsi="仿宋" w:eastAsia="仿宋"/>
          <w:sz w:val="32"/>
          <w:szCs w:val="32"/>
        </w:rPr>
        <w:t>事业单位经营支出。</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四、2021年财政拨款收支总表的说明</w:t>
      </w:r>
    </w:p>
    <w:p>
      <w:pPr>
        <w:keepNext w:val="0"/>
        <w:keepLines w:val="0"/>
        <w:pageBreakBefore w:val="0"/>
        <w:widowControl w:val="0"/>
        <w:kinsoku/>
        <w:wordWrap/>
        <w:overflowPunct/>
        <w:topLinePunct w:val="0"/>
        <w:bidi w:val="0"/>
        <w:snapToGrid/>
        <w:ind w:firstLine="640" w:firstLineChars="200"/>
        <w:jc w:val="left"/>
        <w:textAlignment w:val="auto"/>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330.46</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330.46万元</w:t>
      </w:r>
      <w:r>
        <w:rPr>
          <w:rFonts w:hint="eastAsia" w:ascii="仿宋" w:hAnsi="仿宋" w:eastAsia="仿宋"/>
          <w:sz w:val="32"/>
          <w:szCs w:val="32"/>
        </w:rPr>
        <w:t>；支出包括：公共安全支出</w:t>
      </w:r>
      <w:r>
        <w:rPr>
          <w:rFonts w:hint="eastAsia" w:ascii="仿宋" w:hAnsi="仿宋" w:eastAsia="仿宋"/>
          <w:sz w:val="32"/>
          <w:szCs w:val="32"/>
          <w:lang w:val="en-US" w:eastAsia="zh-CN"/>
        </w:rPr>
        <w:t>268.48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23.86</w:t>
      </w:r>
      <w:r>
        <w:rPr>
          <w:rFonts w:hint="eastAsia" w:ascii="仿宋" w:hAnsi="仿宋" w:eastAsia="仿宋"/>
          <w:sz w:val="32"/>
          <w:szCs w:val="32"/>
        </w:rPr>
        <w:t>万元、卫生健康支出</w:t>
      </w:r>
      <w:r>
        <w:rPr>
          <w:rFonts w:hint="eastAsia" w:ascii="仿宋" w:hAnsi="仿宋" w:eastAsia="仿宋"/>
          <w:sz w:val="32"/>
          <w:szCs w:val="32"/>
          <w:lang w:val="en-US" w:eastAsia="zh-CN"/>
        </w:rPr>
        <w:t>17.20</w:t>
      </w:r>
      <w:r>
        <w:rPr>
          <w:rFonts w:hint="eastAsia" w:ascii="仿宋" w:hAnsi="仿宋" w:eastAsia="仿宋"/>
          <w:sz w:val="32"/>
          <w:szCs w:val="32"/>
        </w:rPr>
        <w:t>万元、住房保障支出</w:t>
      </w:r>
      <w:r>
        <w:rPr>
          <w:rFonts w:hint="eastAsia" w:ascii="仿宋" w:hAnsi="仿宋" w:eastAsia="仿宋"/>
          <w:sz w:val="32"/>
          <w:szCs w:val="32"/>
          <w:lang w:val="en-US" w:eastAsia="zh-CN"/>
        </w:rPr>
        <w:t>20.92</w:t>
      </w:r>
      <w:r>
        <w:rPr>
          <w:rFonts w:hint="eastAsia" w:ascii="仿宋" w:hAnsi="仿宋" w:eastAsia="仿宋"/>
          <w:sz w:val="32"/>
          <w:szCs w:val="32"/>
        </w:rPr>
        <w:t>万元。</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五、2021年一般公共预算支出表的说明</w:t>
      </w:r>
    </w:p>
    <w:p>
      <w:pPr>
        <w:keepNext w:val="0"/>
        <w:keepLines w:val="0"/>
        <w:pageBreakBefore w:val="0"/>
        <w:widowControl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330.46</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eastAsia="zh-CN"/>
        </w:rPr>
        <w:t>增加</w:t>
      </w:r>
      <w:r>
        <w:rPr>
          <w:rFonts w:hint="eastAsia" w:ascii="仿宋" w:hAnsi="仿宋" w:eastAsia="仿宋"/>
          <w:sz w:val="32"/>
          <w:szCs w:val="32"/>
          <w:lang w:val="en-US" w:eastAsia="zh-CN"/>
        </w:rPr>
        <w:t>62.95</w:t>
      </w:r>
      <w:r>
        <w:rPr>
          <w:rFonts w:hint="eastAsia" w:ascii="仿宋" w:hAnsi="仿宋" w:eastAsia="仿宋"/>
          <w:sz w:val="32"/>
          <w:szCs w:val="32"/>
        </w:rPr>
        <w:t>万元，主要原因：</w:t>
      </w:r>
      <w:r>
        <w:rPr>
          <w:rFonts w:hint="eastAsia" w:ascii="仿宋" w:hAnsi="仿宋" w:eastAsia="仿宋"/>
          <w:sz w:val="32"/>
          <w:szCs w:val="32"/>
          <w:lang w:eastAsia="zh-CN"/>
        </w:rPr>
        <w:t>本年度单位人员增加，工资总额增长，且朗县司法局仲达司法所建成，装备费有较大幅度的增加。</w:t>
      </w:r>
    </w:p>
    <w:p>
      <w:pPr>
        <w:keepNext w:val="0"/>
        <w:keepLines w:val="0"/>
        <w:pageBreakBefore w:val="0"/>
        <w:widowControl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公共安全支出</w:t>
      </w:r>
      <w:r>
        <w:rPr>
          <w:rFonts w:hint="eastAsia" w:ascii="仿宋" w:hAnsi="仿宋" w:eastAsia="仿宋"/>
          <w:sz w:val="32"/>
          <w:szCs w:val="32"/>
          <w:lang w:val="en-US" w:eastAsia="zh-CN"/>
        </w:rPr>
        <w:t>268.48</w:t>
      </w:r>
      <w:r>
        <w:rPr>
          <w:rFonts w:hint="eastAsia" w:ascii="仿宋" w:hAnsi="仿宋" w:eastAsia="仿宋"/>
          <w:sz w:val="32"/>
          <w:szCs w:val="32"/>
        </w:rPr>
        <w:t>万元，占81.</w:t>
      </w:r>
      <w:r>
        <w:rPr>
          <w:rFonts w:hint="eastAsia" w:ascii="仿宋" w:hAnsi="仿宋" w:eastAsia="仿宋"/>
          <w:sz w:val="32"/>
          <w:szCs w:val="32"/>
          <w:lang w:val="en-US" w:eastAsia="zh-CN"/>
        </w:rPr>
        <w:t>24</w:t>
      </w:r>
      <w:r>
        <w:rPr>
          <w:rFonts w:hint="eastAsia" w:ascii="仿宋" w:hAnsi="仿宋" w:eastAsia="仿宋"/>
          <w:sz w:val="32"/>
          <w:szCs w:val="32"/>
        </w:rPr>
        <w:t>%、社会保障和就业支出</w:t>
      </w:r>
      <w:r>
        <w:rPr>
          <w:rFonts w:hint="eastAsia" w:ascii="仿宋" w:hAnsi="仿宋" w:eastAsia="仿宋"/>
          <w:sz w:val="32"/>
          <w:szCs w:val="32"/>
          <w:lang w:val="en-US" w:eastAsia="zh-CN"/>
        </w:rPr>
        <w:t>23.86</w:t>
      </w:r>
      <w:r>
        <w:rPr>
          <w:rFonts w:hint="eastAsia" w:ascii="仿宋" w:hAnsi="仿宋" w:eastAsia="仿宋"/>
          <w:sz w:val="32"/>
          <w:szCs w:val="32"/>
        </w:rPr>
        <w:t>万元，占7.</w:t>
      </w:r>
      <w:r>
        <w:rPr>
          <w:rFonts w:hint="eastAsia" w:ascii="仿宋" w:hAnsi="仿宋" w:eastAsia="仿宋"/>
          <w:sz w:val="32"/>
          <w:szCs w:val="32"/>
          <w:lang w:val="en-US" w:eastAsia="zh-CN"/>
        </w:rPr>
        <w:t>22</w:t>
      </w:r>
      <w:r>
        <w:rPr>
          <w:rFonts w:hint="eastAsia" w:ascii="仿宋" w:hAnsi="仿宋" w:eastAsia="仿宋"/>
          <w:sz w:val="32"/>
          <w:szCs w:val="32"/>
        </w:rPr>
        <w:t>%、卫生健康支出</w:t>
      </w:r>
      <w:r>
        <w:rPr>
          <w:rFonts w:hint="eastAsia" w:ascii="仿宋" w:hAnsi="仿宋" w:eastAsia="仿宋"/>
          <w:sz w:val="32"/>
          <w:szCs w:val="32"/>
          <w:lang w:val="en-US" w:eastAsia="zh-CN"/>
        </w:rPr>
        <w:t>17.20</w:t>
      </w:r>
      <w:r>
        <w:rPr>
          <w:rFonts w:hint="eastAsia" w:ascii="仿宋" w:hAnsi="仿宋" w:eastAsia="仿宋"/>
          <w:sz w:val="32"/>
          <w:szCs w:val="32"/>
        </w:rPr>
        <w:t>万元，占5.</w:t>
      </w:r>
      <w:r>
        <w:rPr>
          <w:rFonts w:hint="eastAsia" w:ascii="仿宋" w:hAnsi="仿宋" w:eastAsia="仿宋"/>
          <w:sz w:val="32"/>
          <w:szCs w:val="32"/>
          <w:lang w:val="en-US" w:eastAsia="zh-CN"/>
        </w:rPr>
        <w:t>21</w:t>
      </w:r>
      <w:r>
        <w:rPr>
          <w:rFonts w:hint="eastAsia" w:ascii="仿宋" w:hAnsi="仿宋" w:eastAsia="仿宋"/>
          <w:sz w:val="32"/>
          <w:szCs w:val="32"/>
        </w:rPr>
        <w:t>%、住房保障支出</w:t>
      </w:r>
      <w:r>
        <w:rPr>
          <w:rFonts w:hint="eastAsia" w:ascii="仿宋" w:hAnsi="仿宋" w:eastAsia="仿宋"/>
          <w:sz w:val="32"/>
          <w:szCs w:val="32"/>
          <w:lang w:val="en-US" w:eastAsia="zh-CN"/>
        </w:rPr>
        <w:t>20.92</w:t>
      </w:r>
      <w:r>
        <w:rPr>
          <w:rFonts w:hint="eastAsia" w:ascii="仿宋" w:hAnsi="仿宋" w:eastAsia="仿宋"/>
          <w:sz w:val="32"/>
          <w:szCs w:val="32"/>
        </w:rPr>
        <w:t>万元，占</w:t>
      </w:r>
      <w:r>
        <w:rPr>
          <w:rFonts w:hint="eastAsia" w:ascii="仿宋" w:hAnsi="仿宋" w:eastAsia="仿宋"/>
          <w:sz w:val="32"/>
          <w:szCs w:val="32"/>
          <w:lang w:val="en-US" w:eastAsia="zh-CN"/>
        </w:rPr>
        <w:t>6.33</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1.公共安全支出(类)司法(款)行政运行（项）2021年预算数为</w:t>
      </w:r>
      <w:r>
        <w:rPr>
          <w:rFonts w:hint="eastAsia" w:ascii="仿宋" w:hAnsi="仿宋" w:eastAsia="仿宋"/>
          <w:sz w:val="32"/>
          <w:szCs w:val="32"/>
          <w:lang w:val="en-US" w:eastAsia="zh-CN"/>
        </w:rPr>
        <w:t>212.26</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190.36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21.90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11.50</w:t>
      </w:r>
      <w:r>
        <w:rPr>
          <w:rFonts w:hint="eastAsia" w:ascii="仿宋" w:hAnsi="仿宋" w:eastAsia="仿宋"/>
          <w:sz w:val="32"/>
          <w:szCs w:val="32"/>
        </w:rPr>
        <w:t>%。主要是</w:t>
      </w:r>
      <w:r>
        <w:rPr>
          <w:rFonts w:hint="eastAsia" w:ascii="仿宋" w:hAnsi="仿宋" w:eastAsia="仿宋"/>
          <w:sz w:val="32"/>
          <w:szCs w:val="32"/>
          <w:lang w:eastAsia="zh-CN"/>
        </w:rPr>
        <w:t>本年度人员增加，工资支出增加</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公共安全支出(类)司法(款)一般行政管理事务（项）2021年预算数为</w:t>
      </w:r>
      <w:r>
        <w:rPr>
          <w:rFonts w:hint="eastAsia" w:ascii="仿宋" w:hAnsi="仿宋" w:eastAsia="仿宋"/>
          <w:sz w:val="32"/>
          <w:szCs w:val="32"/>
          <w:lang w:val="en-US" w:eastAsia="zh-CN"/>
        </w:rPr>
        <w:t>36.68</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1.41</w:t>
      </w:r>
      <w:r>
        <w:rPr>
          <w:rFonts w:hint="eastAsia" w:ascii="仿宋" w:hAnsi="仿宋" w:eastAsia="仿宋"/>
          <w:sz w:val="32"/>
          <w:szCs w:val="32"/>
        </w:rPr>
        <w:t>万元增加</w:t>
      </w:r>
      <w:r>
        <w:rPr>
          <w:rFonts w:hint="eastAsia" w:ascii="仿宋" w:hAnsi="仿宋" w:eastAsia="仿宋"/>
          <w:sz w:val="32"/>
          <w:szCs w:val="32"/>
          <w:lang w:val="en-US" w:eastAsia="zh-CN"/>
        </w:rPr>
        <w:t>35.27</w:t>
      </w:r>
      <w:r>
        <w:rPr>
          <w:rFonts w:hint="eastAsia" w:ascii="仿宋" w:hAnsi="仿宋" w:eastAsia="仿宋"/>
          <w:sz w:val="32"/>
          <w:szCs w:val="32"/>
        </w:rPr>
        <w:t>万元。主要是因为2021年将</w:t>
      </w:r>
      <w:r>
        <w:rPr>
          <w:rFonts w:hint="eastAsia" w:ascii="仿宋" w:hAnsi="仿宋" w:eastAsia="仿宋"/>
          <w:sz w:val="32"/>
          <w:szCs w:val="32"/>
          <w:lang w:eastAsia="zh-CN"/>
        </w:rPr>
        <w:t>装备费</w:t>
      </w:r>
      <w:r>
        <w:rPr>
          <w:rFonts w:hint="eastAsia" w:ascii="仿宋" w:hAnsi="仿宋" w:eastAsia="仿宋"/>
          <w:sz w:val="32"/>
          <w:szCs w:val="32"/>
        </w:rPr>
        <w:t>放在了“一般行政管理事务”功能科目下，2020年该项目未在此功能科目反映。</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公共安全支出(类)司法(款)</w:t>
      </w:r>
      <w:r>
        <w:rPr>
          <w:rFonts w:hint="eastAsia" w:ascii="仿宋" w:hAnsi="仿宋" w:eastAsia="仿宋"/>
          <w:sz w:val="32"/>
          <w:szCs w:val="32"/>
          <w:lang w:eastAsia="zh-CN"/>
        </w:rPr>
        <w:t>普法宣传</w:t>
      </w:r>
      <w:r>
        <w:rPr>
          <w:rFonts w:hint="eastAsia" w:ascii="仿宋" w:hAnsi="仿宋" w:eastAsia="仿宋"/>
          <w:sz w:val="32"/>
          <w:szCs w:val="32"/>
        </w:rPr>
        <w:t>（项）2021年预算数为</w:t>
      </w:r>
      <w:r>
        <w:rPr>
          <w:rFonts w:hint="eastAsia" w:ascii="仿宋" w:hAnsi="仿宋" w:eastAsia="仿宋"/>
          <w:sz w:val="32"/>
          <w:szCs w:val="32"/>
          <w:lang w:val="en-US" w:eastAsia="zh-CN"/>
        </w:rPr>
        <w:t>3</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2.81</w:t>
      </w:r>
      <w:r>
        <w:rPr>
          <w:rFonts w:hint="eastAsia" w:ascii="仿宋" w:hAnsi="仿宋" w:eastAsia="仿宋"/>
          <w:sz w:val="32"/>
          <w:szCs w:val="32"/>
        </w:rPr>
        <w:t>万元增加</w:t>
      </w:r>
      <w:r>
        <w:rPr>
          <w:rFonts w:hint="eastAsia" w:ascii="仿宋" w:hAnsi="仿宋" w:eastAsia="仿宋"/>
          <w:sz w:val="32"/>
          <w:szCs w:val="32"/>
          <w:lang w:val="en-US" w:eastAsia="zh-CN"/>
        </w:rPr>
        <w:t>0.19</w:t>
      </w:r>
      <w:r>
        <w:rPr>
          <w:rFonts w:hint="eastAsia" w:ascii="仿宋" w:hAnsi="仿宋" w:eastAsia="仿宋"/>
          <w:sz w:val="32"/>
          <w:szCs w:val="32"/>
        </w:rPr>
        <w:t>万元</w:t>
      </w:r>
      <w:r>
        <w:rPr>
          <w:rFonts w:hint="eastAsia" w:ascii="仿宋" w:hAnsi="仿宋" w:eastAsia="仿宋"/>
          <w:sz w:val="32"/>
          <w:szCs w:val="32"/>
          <w:lang w:eastAsia="zh-CN"/>
        </w:rPr>
        <w:t>。主要是县域人员增长，普法经费按照年度递增的要求</w:t>
      </w:r>
      <w:r>
        <w:rPr>
          <w:rFonts w:hint="eastAsia" w:ascii="仿宋" w:hAnsi="仿宋" w:eastAsia="仿宋"/>
          <w:sz w:val="32"/>
          <w:szCs w:val="32"/>
          <w:lang w:val="en-US" w:eastAsia="zh-CN"/>
        </w:rPr>
        <w:t>有一定程度的增长。</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公共安全支出(类)司法(款)</w:t>
      </w:r>
      <w:r>
        <w:rPr>
          <w:rFonts w:hint="eastAsia" w:ascii="仿宋" w:hAnsi="仿宋" w:eastAsia="仿宋"/>
          <w:sz w:val="32"/>
          <w:szCs w:val="32"/>
          <w:lang w:eastAsia="zh-CN"/>
        </w:rPr>
        <w:t>法律援助</w:t>
      </w:r>
      <w:r>
        <w:rPr>
          <w:rFonts w:hint="eastAsia" w:ascii="仿宋" w:hAnsi="仿宋" w:eastAsia="仿宋"/>
          <w:sz w:val="32"/>
          <w:szCs w:val="32"/>
        </w:rPr>
        <w:t>（项）2021年预算数为</w:t>
      </w:r>
      <w:r>
        <w:rPr>
          <w:rFonts w:hint="eastAsia" w:ascii="仿宋" w:hAnsi="仿宋" w:eastAsia="仿宋"/>
          <w:sz w:val="32"/>
          <w:szCs w:val="32"/>
          <w:lang w:val="en-US" w:eastAsia="zh-CN"/>
        </w:rPr>
        <w:t>5</w:t>
      </w:r>
      <w:r>
        <w:rPr>
          <w:rFonts w:hint="eastAsia" w:ascii="仿宋" w:hAnsi="仿宋" w:eastAsia="仿宋"/>
          <w:sz w:val="32"/>
          <w:szCs w:val="32"/>
        </w:rPr>
        <w:t>万元，比2020年</w:t>
      </w:r>
      <w:r>
        <w:rPr>
          <w:rFonts w:hint="eastAsia" w:ascii="仿宋" w:hAnsi="仿宋" w:eastAsia="仿宋"/>
          <w:sz w:val="32"/>
          <w:szCs w:val="32"/>
          <w:lang w:eastAsia="zh-CN"/>
        </w:rPr>
        <w:t>预算数</w:t>
      </w:r>
      <w:r>
        <w:rPr>
          <w:rFonts w:hint="eastAsia" w:ascii="仿宋" w:hAnsi="仿宋" w:eastAsia="仿宋"/>
          <w:sz w:val="32"/>
          <w:szCs w:val="32"/>
          <w:lang w:val="en-US" w:eastAsia="zh-CN"/>
        </w:rPr>
        <w:t>5</w:t>
      </w:r>
      <w:r>
        <w:rPr>
          <w:rFonts w:hint="eastAsia" w:ascii="仿宋" w:hAnsi="仿宋" w:eastAsia="仿宋"/>
          <w:sz w:val="32"/>
          <w:szCs w:val="32"/>
        </w:rPr>
        <w:t>万元</w:t>
      </w:r>
      <w:r>
        <w:rPr>
          <w:rFonts w:hint="eastAsia" w:ascii="仿宋" w:hAnsi="仿宋" w:eastAsia="仿宋"/>
          <w:sz w:val="32"/>
          <w:szCs w:val="32"/>
          <w:lang w:eastAsia="zh-CN"/>
        </w:rPr>
        <w:t>无增减。</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公共安全支出(类)司法(款)</w:t>
      </w:r>
      <w:r>
        <w:rPr>
          <w:rFonts w:hint="eastAsia" w:ascii="仿宋" w:hAnsi="仿宋" w:eastAsia="仿宋"/>
          <w:sz w:val="32"/>
          <w:szCs w:val="32"/>
          <w:lang w:eastAsia="zh-CN"/>
        </w:rPr>
        <w:t>社区矫正</w:t>
      </w:r>
      <w:r>
        <w:rPr>
          <w:rFonts w:hint="eastAsia" w:ascii="仿宋" w:hAnsi="仿宋" w:eastAsia="仿宋"/>
          <w:sz w:val="32"/>
          <w:szCs w:val="32"/>
        </w:rPr>
        <w:t>（项）2021年预算数为</w:t>
      </w:r>
      <w:r>
        <w:rPr>
          <w:rFonts w:hint="eastAsia" w:ascii="仿宋" w:hAnsi="仿宋" w:eastAsia="仿宋"/>
          <w:sz w:val="32"/>
          <w:szCs w:val="32"/>
          <w:lang w:val="en-US" w:eastAsia="zh-CN"/>
        </w:rPr>
        <w:t>9.54</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8.22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1.32</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16.06%。</w:t>
      </w:r>
      <w:r>
        <w:rPr>
          <w:rFonts w:hint="eastAsia" w:ascii="仿宋" w:hAnsi="仿宋" w:eastAsia="仿宋"/>
          <w:sz w:val="32"/>
          <w:szCs w:val="32"/>
          <w:lang w:eastAsia="zh-CN"/>
        </w:rPr>
        <w:t>主要是因为社区矫正对象增加，支出有所增加。</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.公共安全支出(类)司法(款)法制建设（项）2021年预算数为</w:t>
      </w:r>
      <w:r>
        <w:rPr>
          <w:rFonts w:hint="eastAsia" w:ascii="仿宋" w:hAnsi="仿宋" w:eastAsia="仿宋"/>
          <w:sz w:val="32"/>
          <w:szCs w:val="32"/>
          <w:lang w:val="en-US" w:eastAsia="zh-CN"/>
        </w:rPr>
        <w:t>2</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2</w:t>
      </w:r>
      <w:r>
        <w:rPr>
          <w:rFonts w:hint="eastAsia" w:ascii="仿宋" w:hAnsi="仿宋" w:eastAsia="仿宋"/>
          <w:sz w:val="32"/>
          <w:szCs w:val="32"/>
        </w:rPr>
        <w:t>万元</w:t>
      </w:r>
      <w:r>
        <w:rPr>
          <w:rFonts w:hint="eastAsia" w:ascii="仿宋" w:hAnsi="仿宋" w:eastAsia="仿宋"/>
          <w:sz w:val="32"/>
          <w:szCs w:val="32"/>
          <w:lang w:eastAsia="zh-CN"/>
        </w:rPr>
        <w:t>无增减</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.社会保障和就业支出（类）行政事业单位养老支出（款）机关事业单位基本养老保险缴费支出（项）2021年预算数为</w:t>
      </w:r>
      <w:r>
        <w:rPr>
          <w:rFonts w:hint="eastAsia" w:ascii="仿宋" w:hAnsi="仿宋" w:eastAsia="仿宋"/>
          <w:sz w:val="32"/>
          <w:szCs w:val="32"/>
          <w:lang w:val="en-US" w:eastAsia="zh-CN"/>
        </w:rPr>
        <w:t>23.52</w:t>
      </w:r>
      <w:r>
        <w:rPr>
          <w:rFonts w:hint="eastAsia" w:ascii="仿宋" w:hAnsi="仿宋" w:eastAsia="仿宋"/>
          <w:sz w:val="32"/>
          <w:szCs w:val="32"/>
        </w:rPr>
        <w:t>万元，比2020年</w:t>
      </w:r>
      <w:r>
        <w:rPr>
          <w:rFonts w:hint="eastAsia" w:ascii="仿宋" w:hAnsi="仿宋" w:eastAsia="仿宋"/>
          <w:sz w:val="32"/>
          <w:szCs w:val="32"/>
          <w:lang w:eastAsia="zh-CN"/>
        </w:rPr>
        <w:t>预算数</w:t>
      </w:r>
      <w:r>
        <w:rPr>
          <w:rFonts w:hint="eastAsia" w:ascii="仿宋" w:hAnsi="仿宋" w:eastAsia="仿宋"/>
          <w:sz w:val="32"/>
          <w:szCs w:val="32"/>
          <w:lang w:val="en-US" w:eastAsia="zh-CN"/>
        </w:rPr>
        <w:t>22.02</w:t>
      </w:r>
      <w:r>
        <w:rPr>
          <w:rFonts w:hint="eastAsia" w:ascii="仿宋" w:hAnsi="仿宋" w:eastAsia="仿宋"/>
          <w:sz w:val="32"/>
          <w:szCs w:val="32"/>
        </w:rPr>
        <w:t>万元增加</w:t>
      </w:r>
      <w:r>
        <w:rPr>
          <w:rFonts w:hint="eastAsia" w:ascii="仿宋" w:hAnsi="仿宋" w:eastAsia="仿宋"/>
          <w:sz w:val="32"/>
          <w:szCs w:val="32"/>
          <w:lang w:val="en-US" w:eastAsia="zh-CN"/>
        </w:rPr>
        <w:t>1.5</w:t>
      </w:r>
      <w:r>
        <w:rPr>
          <w:rFonts w:hint="eastAsia" w:ascii="仿宋" w:hAnsi="仿宋" w:eastAsia="仿宋"/>
          <w:sz w:val="32"/>
          <w:szCs w:val="32"/>
        </w:rPr>
        <w:t>万元，上升</w:t>
      </w:r>
      <w:r>
        <w:rPr>
          <w:rFonts w:hint="eastAsia" w:ascii="仿宋" w:hAnsi="仿宋" w:eastAsia="仿宋"/>
          <w:sz w:val="32"/>
          <w:szCs w:val="32"/>
          <w:lang w:val="en-US" w:eastAsia="zh-CN"/>
        </w:rPr>
        <w:t>6.81</w:t>
      </w:r>
      <w:r>
        <w:rPr>
          <w:rFonts w:hint="eastAsia" w:ascii="仿宋" w:hAnsi="仿宋" w:eastAsia="仿宋"/>
          <w:sz w:val="32"/>
          <w:szCs w:val="32"/>
        </w:rPr>
        <w:t>%。主要是由于人员</w:t>
      </w:r>
      <w:r>
        <w:rPr>
          <w:rFonts w:hint="eastAsia" w:ascii="仿宋" w:hAnsi="仿宋" w:eastAsia="仿宋"/>
          <w:sz w:val="32"/>
          <w:szCs w:val="32"/>
          <w:lang w:eastAsia="zh-CN"/>
        </w:rPr>
        <w:t>增加</w:t>
      </w:r>
      <w:r>
        <w:rPr>
          <w:rFonts w:hint="eastAsia" w:ascii="仿宋" w:hAnsi="仿宋" w:eastAsia="仿宋"/>
          <w:sz w:val="32"/>
          <w:szCs w:val="32"/>
        </w:rPr>
        <w:t>，工资总额增加，故养老保险缴费支出增加。</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社会保障和就业支出（类）财政对其他社会保险基金的补助（款）财政对失业保险基金的补助</w:t>
      </w:r>
      <w:r>
        <w:rPr>
          <w:rFonts w:hint="eastAsia" w:ascii="仿宋" w:hAnsi="仿宋" w:eastAsia="仿宋"/>
          <w:sz w:val="32"/>
          <w:szCs w:val="32"/>
          <w:lang w:eastAsia="zh-CN"/>
        </w:rPr>
        <w:t>（项）</w:t>
      </w:r>
      <w:r>
        <w:rPr>
          <w:rFonts w:hint="eastAsia" w:ascii="仿宋" w:hAnsi="仿宋" w:eastAsia="仿宋"/>
          <w:sz w:val="32"/>
          <w:szCs w:val="32"/>
          <w:lang w:val="en-US" w:eastAsia="zh-CN"/>
        </w:rPr>
        <w:t>2021年预算数为0.05万元，比2020年预算数0.05万元无增减。</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社会保障和就业支出（类）财政对其他社会保险基金的补助（款）财政对工伤保险基金的补助</w:t>
      </w:r>
      <w:r>
        <w:rPr>
          <w:rFonts w:hint="eastAsia" w:ascii="仿宋" w:hAnsi="仿宋" w:eastAsia="仿宋"/>
          <w:sz w:val="32"/>
          <w:szCs w:val="32"/>
          <w:lang w:eastAsia="zh-CN"/>
        </w:rPr>
        <w:t>（项）</w:t>
      </w:r>
      <w:r>
        <w:rPr>
          <w:rFonts w:hint="eastAsia" w:ascii="仿宋" w:hAnsi="仿宋" w:eastAsia="仿宋"/>
          <w:sz w:val="32"/>
          <w:szCs w:val="32"/>
          <w:lang w:val="en-US" w:eastAsia="zh-CN"/>
        </w:rPr>
        <w:t>2021年预算数0.29万元，比2020年预算数0.28万元增加0.01万元。</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.卫生健康支出（类）行政事业单位医疗（款）公务员医疗补助（项）2021年预算数为</w:t>
      </w:r>
      <w:r>
        <w:rPr>
          <w:rFonts w:hint="eastAsia" w:ascii="仿宋" w:hAnsi="仿宋" w:eastAsia="仿宋"/>
          <w:sz w:val="32"/>
          <w:szCs w:val="32"/>
          <w:lang w:val="en-US" w:eastAsia="zh-CN"/>
        </w:rPr>
        <w:t>4.41</w:t>
      </w:r>
      <w:r>
        <w:rPr>
          <w:rFonts w:hint="eastAsia" w:ascii="仿宋" w:hAnsi="仿宋" w:eastAsia="仿宋"/>
          <w:sz w:val="32"/>
          <w:szCs w:val="32"/>
        </w:rPr>
        <w:t>万元，比2020年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val="en-US" w:eastAsia="zh-CN"/>
        </w:rPr>
        <w:t>4.13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0.28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6.78</w:t>
      </w:r>
      <w:r>
        <w:rPr>
          <w:rFonts w:hint="eastAsia" w:ascii="仿宋" w:hAnsi="仿宋" w:eastAsia="仿宋"/>
          <w:sz w:val="32"/>
          <w:szCs w:val="32"/>
        </w:rPr>
        <w:t>%。主要是因为人员工资增加，按照比例，相应</w:t>
      </w:r>
      <w:r>
        <w:rPr>
          <w:rFonts w:hint="eastAsia" w:ascii="仿宋" w:hAnsi="仿宋" w:eastAsia="仿宋"/>
          <w:sz w:val="32"/>
          <w:szCs w:val="32"/>
          <w:lang w:eastAsia="zh-CN"/>
        </w:rPr>
        <w:t>公务员医疗补助</w:t>
      </w:r>
      <w:r>
        <w:rPr>
          <w:rFonts w:hint="eastAsia" w:ascii="仿宋" w:hAnsi="仿宋" w:eastAsia="仿宋"/>
          <w:sz w:val="32"/>
          <w:szCs w:val="32"/>
        </w:rPr>
        <w:t>亦增加。</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.卫生健康支出（类）财政对基本医疗保险基金的补助（款）财政对职工基本医疗保险基金的补助（项）2021年预算数为</w:t>
      </w:r>
      <w:r>
        <w:rPr>
          <w:rFonts w:hint="eastAsia" w:ascii="仿宋" w:hAnsi="仿宋" w:eastAsia="仿宋"/>
          <w:sz w:val="32"/>
          <w:szCs w:val="32"/>
          <w:lang w:val="en-US" w:eastAsia="zh-CN"/>
        </w:rPr>
        <w:t>12.79</w:t>
      </w:r>
      <w:r>
        <w:rPr>
          <w:rFonts w:hint="eastAsia" w:ascii="仿宋" w:hAnsi="仿宋" w:eastAsia="仿宋"/>
          <w:sz w:val="32"/>
          <w:szCs w:val="32"/>
        </w:rPr>
        <w:t>万元，比2020年</w:t>
      </w:r>
      <w:r>
        <w:rPr>
          <w:rFonts w:hint="eastAsia" w:ascii="仿宋" w:hAnsi="仿宋" w:eastAsia="仿宋"/>
          <w:sz w:val="32"/>
          <w:szCs w:val="32"/>
          <w:lang w:eastAsia="zh-CN"/>
        </w:rPr>
        <w:t>预算数</w:t>
      </w:r>
      <w:r>
        <w:rPr>
          <w:rFonts w:hint="eastAsia" w:ascii="仿宋" w:hAnsi="仿宋" w:eastAsia="仿宋"/>
          <w:sz w:val="32"/>
          <w:szCs w:val="32"/>
          <w:lang w:val="en-US" w:eastAsia="zh-CN"/>
        </w:rPr>
        <w:t>11.01</w:t>
      </w:r>
      <w:r>
        <w:rPr>
          <w:rFonts w:hint="eastAsia" w:ascii="仿宋" w:hAnsi="仿宋" w:eastAsia="仿宋"/>
          <w:sz w:val="32"/>
          <w:szCs w:val="32"/>
        </w:rPr>
        <w:t>万元增加</w:t>
      </w:r>
      <w:r>
        <w:rPr>
          <w:rFonts w:hint="eastAsia" w:ascii="仿宋" w:hAnsi="仿宋" w:eastAsia="仿宋"/>
          <w:sz w:val="32"/>
          <w:szCs w:val="32"/>
          <w:lang w:val="en-US" w:eastAsia="zh-CN"/>
        </w:rPr>
        <w:t>1.78</w:t>
      </w:r>
      <w:r>
        <w:rPr>
          <w:rFonts w:hint="eastAsia" w:ascii="仿宋" w:hAnsi="仿宋" w:eastAsia="仿宋"/>
          <w:sz w:val="32"/>
          <w:szCs w:val="32"/>
        </w:rPr>
        <w:t>万元，上升</w:t>
      </w:r>
      <w:r>
        <w:rPr>
          <w:rFonts w:hint="eastAsia" w:ascii="仿宋" w:hAnsi="仿宋" w:eastAsia="仿宋"/>
          <w:sz w:val="32"/>
          <w:szCs w:val="32"/>
          <w:lang w:val="en-US" w:eastAsia="zh-CN"/>
        </w:rPr>
        <w:t>16.17</w:t>
      </w:r>
      <w:r>
        <w:rPr>
          <w:rFonts w:hint="eastAsia" w:ascii="仿宋" w:hAnsi="仿宋" w:eastAsia="仿宋"/>
          <w:sz w:val="32"/>
          <w:szCs w:val="32"/>
        </w:rPr>
        <w:t>%。主要是因为人员工资增加，按照比例，相应财政对职工基本医疗保险基金的补助亦增加。</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.住房保障支出（类）住房改革支出（款）住房公积金（项）2021年预算数为</w:t>
      </w:r>
      <w:r>
        <w:rPr>
          <w:rFonts w:hint="eastAsia" w:ascii="仿宋" w:hAnsi="仿宋" w:eastAsia="仿宋"/>
          <w:sz w:val="32"/>
          <w:szCs w:val="32"/>
          <w:lang w:val="en-US" w:eastAsia="zh-CN"/>
        </w:rPr>
        <w:t>20.92</w:t>
      </w:r>
      <w:r>
        <w:rPr>
          <w:rFonts w:hint="eastAsia" w:ascii="仿宋" w:hAnsi="仿宋" w:eastAsia="仿宋"/>
          <w:sz w:val="32"/>
          <w:szCs w:val="32"/>
        </w:rPr>
        <w:t>万元，比2020年</w:t>
      </w:r>
      <w:r>
        <w:rPr>
          <w:rFonts w:hint="eastAsia" w:ascii="仿宋" w:hAnsi="仿宋" w:eastAsia="仿宋"/>
          <w:sz w:val="32"/>
          <w:szCs w:val="32"/>
          <w:lang w:eastAsia="zh-CN"/>
        </w:rPr>
        <w:t>预算数</w:t>
      </w:r>
      <w:r>
        <w:rPr>
          <w:rFonts w:hint="eastAsia" w:ascii="仿宋" w:hAnsi="仿宋" w:eastAsia="仿宋"/>
          <w:sz w:val="32"/>
          <w:szCs w:val="32"/>
          <w:lang w:val="en-US" w:eastAsia="zh-CN"/>
        </w:rPr>
        <w:t>19.26</w:t>
      </w:r>
      <w:r>
        <w:rPr>
          <w:rFonts w:hint="eastAsia" w:ascii="仿宋" w:hAnsi="仿宋" w:eastAsia="仿宋"/>
          <w:sz w:val="32"/>
          <w:szCs w:val="32"/>
        </w:rPr>
        <w:t>万元增加</w:t>
      </w:r>
      <w:r>
        <w:rPr>
          <w:rFonts w:hint="eastAsia" w:ascii="仿宋" w:hAnsi="仿宋" w:eastAsia="仿宋"/>
          <w:sz w:val="32"/>
          <w:szCs w:val="32"/>
          <w:lang w:val="en-US" w:eastAsia="zh-CN"/>
        </w:rPr>
        <w:t>1.66</w:t>
      </w:r>
      <w:r>
        <w:rPr>
          <w:rFonts w:hint="eastAsia" w:ascii="仿宋" w:hAnsi="仿宋" w:eastAsia="仿宋"/>
          <w:sz w:val="32"/>
          <w:szCs w:val="32"/>
        </w:rPr>
        <w:t>万元，上升</w:t>
      </w:r>
      <w:r>
        <w:rPr>
          <w:rFonts w:hint="eastAsia" w:ascii="仿宋" w:hAnsi="仿宋" w:eastAsia="仿宋"/>
          <w:sz w:val="32"/>
          <w:szCs w:val="32"/>
          <w:lang w:val="en-US" w:eastAsia="zh-CN"/>
        </w:rPr>
        <w:t>8.62</w:t>
      </w:r>
      <w:r>
        <w:rPr>
          <w:rFonts w:hint="eastAsia" w:ascii="仿宋" w:hAnsi="仿宋" w:eastAsia="仿宋"/>
          <w:sz w:val="32"/>
          <w:szCs w:val="32"/>
        </w:rPr>
        <w:t>%。主要是因为人员工资增加，按照比例，相应住房公积金亦增加。</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六、2021年一般公共预算基本支出表的说明</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2021年一般公共预算基本支出</w:t>
      </w:r>
      <w:r>
        <w:rPr>
          <w:rFonts w:hint="eastAsia" w:ascii="仿宋" w:hAnsi="仿宋" w:eastAsia="仿宋"/>
          <w:sz w:val="32"/>
          <w:szCs w:val="32"/>
          <w:lang w:val="en-US" w:eastAsia="zh-CN"/>
        </w:rPr>
        <w:t>330.46</w:t>
      </w:r>
      <w:r>
        <w:rPr>
          <w:rFonts w:hint="eastAsia" w:ascii="仿宋" w:hAnsi="仿宋" w:eastAsia="仿宋"/>
          <w:sz w:val="32"/>
          <w:szCs w:val="32"/>
        </w:rPr>
        <w:t>万元，其中：</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251.68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176.68万元</w:t>
      </w:r>
      <w:r>
        <w:rPr>
          <w:rFonts w:hint="eastAsia" w:ascii="仿宋" w:hAnsi="仿宋" w:eastAsia="仿宋"/>
          <w:sz w:val="32"/>
          <w:szCs w:val="32"/>
        </w:rPr>
        <w:t>（</w:t>
      </w:r>
      <w:r>
        <w:rPr>
          <w:rFonts w:hint="eastAsia" w:ascii="仿宋" w:hAnsi="仿宋" w:eastAsia="仿宋"/>
          <w:sz w:val="32"/>
          <w:szCs w:val="32"/>
          <w:lang w:eastAsia="zh-CN"/>
        </w:rPr>
        <w:t>其中：</w:t>
      </w:r>
      <w:r>
        <w:rPr>
          <w:rFonts w:hint="eastAsia" w:ascii="仿宋" w:hAnsi="仿宋" w:eastAsia="仿宋"/>
          <w:sz w:val="32"/>
          <w:szCs w:val="32"/>
        </w:rPr>
        <w:t>基本工资</w:t>
      </w:r>
      <w:r>
        <w:rPr>
          <w:rFonts w:hint="eastAsia" w:ascii="仿宋" w:hAnsi="仿宋" w:eastAsia="仿宋"/>
          <w:sz w:val="32"/>
          <w:szCs w:val="32"/>
          <w:lang w:val="en-US" w:eastAsia="zh-CN"/>
        </w:rPr>
        <w:t>41.04万元</w:t>
      </w:r>
      <w:r>
        <w:rPr>
          <w:rFonts w:hint="eastAsia" w:ascii="仿宋" w:hAnsi="仿宋" w:eastAsia="仿宋"/>
          <w:sz w:val="32"/>
          <w:szCs w:val="32"/>
        </w:rPr>
        <w:t>、津贴补贴</w:t>
      </w:r>
      <w:r>
        <w:rPr>
          <w:rFonts w:hint="eastAsia" w:ascii="仿宋" w:hAnsi="仿宋" w:eastAsia="仿宋"/>
          <w:sz w:val="32"/>
          <w:szCs w:val="32"/>
          <w:lang w:val="en-US" w:eastAsia="zh-CN"/>
        </w:rPr>
        <w:t>123.43万元</w:t>
      </w:r>
      <w:r>
        <w:rPr>
          <w:rFonts w:hint="eastAsia" w:ascii="仿宋" w:hAnsi="仿宋" w:eastAsia="仿宋"/>
          <w:sz w:val="32"/>
          <w:szCs w:val="32"/>
        </w:rPr>
        <w:t>、奖金</w:t>
      </w:r>
      <w:r>
        <w:rPr>
          <w:rFonts w:hint="eastAsia" w:ascii="仿宋" w:hAnsi="仿宋" w:eastAsia="仿宋"/>
          <w:sz w:val="32"/>
          <w:szCs w:val="32"/>
          <w:lang w:val="en-US" w:eastAsia="zh-CN"/>
        </w:rPr>
        <w:t>12.24万元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23.52万元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12.79万元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4.41万元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0.34万元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13.02万元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20.92万元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19.56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16.03万元</w:t>
      </w:r>
      <w:r>
        <w:rPr>
          <w:rFonts w:hint="eastAsia" w:ascii="仿宋" w:hAnsi="仿宋" w:eastAsia="仿宋"/>
          <w:sz w:val="32"/>
          <w:szCs w:val="32"/>
        </w:rPr>
        <w:t>（</w:t>
      </w:r>
      <w:r>
        <w:rPr>
          <w:rFonts w:hint="eastAsia" w:ascii="仿宋" w:hAnsi="仿宋" w:eastAsia="仿宋"/>
          <w:sz w:val="32"/>
          <w:szCs w:val="32"/>
          <w:lang w:eastAsia="zh-CN"/>
        </w:rPr>
        <w:t>其中：</w:t>
      </w:r>
      <w:r>
        <w:rPr>
          <w:rFonts w:ascii="仿宋" w:hAnsi="仿宋" w:eastAsia="仿宋"/>
          <w:sz w:val="32"/>
          <w:szCs w:val="32"/>
        </w:rPr>
        <w:t>办公费</w:t>
      </w:r>
      <w:r>
        <w:rPr>
          <w:rFonts w:hint="eastAsia" w:ascii="仿宋" w:hAnsi="仿宋" w:eastAsia="仿宋"/>
          <w:sz w:val="32"/>
          <w:szCs w:val="32"/>
          <w:lang w:val="en-US" w:eastAsia="zh-CN"/>
        </w:rPr>
        <w:t>2.27万元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0.31万元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0.13万元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1.47万元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0.90万元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0.90万元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0.46万元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0.27万元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0.44万元</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lang w:val="en-US" w:eastAsia="zh-CN"/>
        </w:rPr>
        <w:t>0.07万元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8.48万元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0.33万元</w:t>
      </w:r>
      <w:r>
        <w:rPr>
          <w:rFonts w:ascii="仿宋" w:hAnsi="仿宋" w:eastAsia="仿宋"/>
          <w:sz w:val="32"/>
          <w:szCs w:val="32"/>
        </w:rPr>
        <w:t>）</w:t>
      </w:r>
      <w:r>
        <w:rPr>
          <w:rFonts w:hint="eastAsia" w:ascii="仿宋" w:hAnsi="仿宋" w:eastAsia="仿宋"/>
          <w:sz w:val="32"/>
          <w:szCs w:val="32"/>
          <w:lang w:eastAsia="zh-CN"/>
        </w:rPr>
        <w:t>、工会经费</w:t>
      </w:r>
      <w:r>
        <w:rPr>
          <w:rFonts w:hint="eastAsia" w:ascii="仿宋" w:hAnsi="仿宋" w:eastAsia="仿宋"/>
          <w:sz w:val="32"/>
          <w:szCs w:val="32"/>
          <w:lang w:val="en-US" w:eastAsia="zh-CN"/>
        </w:rPr>
        <w:t>3.53万元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七、2021年度一般公共预算“三公”经费预算情况说明</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朗县司法局</w:t>
      </w:r>
      <w:r>
        <w:rPr>
          <w:rFonts w:hint="eastAsia" w:ascii="仿宋" w:hAnsi="仿宋" w:eastAsia="仿宋"/>
          <w:sz w:val="32"/>
          <w:szCs w:val="32"/>
        </w:rPr>
        <w:t>2021年“三公”经费预算数为</w:t>
      </w:r>
      <w:r>
        <w:rPr>
          <w:rFonts w:hint="eastAsia" w:ascii="仿宋" w:hAnsi="仿宋" w:eastAsia="仿宋"/>
          <w:sz w:val="32"/>
          <w:szCs w:val="32"/>
          <w:lang w:val="en-US" w:eastAsia="zh-CN"/>
        </w:rPr>
        <w:t>8.92</w:t>
      </w:r>
      <w:r>
        <w:rPr>
          <w:rFonts w:hint="eastAsia" w:ascii="仿宋" w:hAnsi="仿宋" w:eastAsia="仿宋"/>
          <w:sz w:val="32"/>
          <w:szCs w:val="32"/>
        </w:rPr>
        <w:t>万元，其中：公务用车购置及运行费</w:t>
      </w:r>
      <w:r>
        <w:rPr>
          <w:rFonts w:hint="eastAsia" w:ascii="仿宋" w:hAnsi="仿宋" w:eastAsia="仿宋"/>
          <w:sz w:val="32"/>
          <w:szCs w:val="32"/>
          <w:lang w:val="en-US" w:eastAsia="zh-CN"/>
        </w:rPr>
        <w:t>8.48</w:t>
      </w:r>
      <w:r>
        <w:rPr>
          <w:rFonts w:hint="eastAsia" w:ascii="仿宋" w:hAnsi="仿宋" w:eastAsia="仿宋"/>
          <w:sz w:val="32"/>
          <w:szCs w:val="32"/>
        </w:rPr>
        <w:t>万元，公务接待费</w:t>
      </w:r>
      <w:r>
        <w:rPr>
          <w:rFonts w:hint="eastAsia" w:ascii="仿宋" w:hAnsi="仿宋" w:eastAsia="仿宋"/>
          <w:sz w:val="32"/>
          <w:szCs w:val="32"/>
          <w:lang w:val="en-US" w:eastAsia="zh-CN"/>
        </w:rPr>
        <w:t>0.44</w:t>
      </w:r>
      <w:r>
        <w:rPr>
          <w:rFonts w:hint="eastAsia" w:ascii="仿宋" w:hAnsi="仿宋" w:eastAsia="仿宋"/>
          <w:sz w:val="32"/>
          <w:szCs w:val="32"/>
        </w:rPr>
        <w:t>万元</w:t>
      </w:r>
      <w:r>
        <w:rPr>
          <w:rFonts w:hint="eastAsia" w:ascii="仿宋" w:hAnsi="仿宋" w:eastAsia="仿宋"/>
          <w:sz w:val="32"/>
          <w:szCs w:val="32"/>
          <w:lang w:eastAsia="zh-CN"/>
        </w:rPr>
        <w:t>、无因公出国(境)费用、无公务用车购置费用</w:t>
      </w:r>
      <w:r>
        <w:rPr>
          <w:rFonts w:hint="eastAsia" w:ascii="仿宋" w:hAnsi="仿宋" w:eastAsia="仿宋"/>
          <w:sz w:val="32"/>
          <w:szCs w:val="32"/>
        </w:rPr>
        <w:t>。2021年“三公”经费预算比2020年增加</w:t>
      </w:r>
      <w:r>
        <w:rPr>
          <w:rFonts w:hint="eastAsia" w:ascii="仿宋" w:hAnsi="仿宋" w:eastAsia="仿宋"/>
          <w:sz w:val="32"/>
          <w:szCs w:val="32"/>
          <w:lang w:val="en-US" w:eastAsia="zh-CN"/>
        </w:rPr>
        <w:t>0.77</w:t>
      </w:r>
      <w:r>
        <w:rPr>
          <w:rFonts w:hint="eastAsia" w:ascii="仿宋" w:hAnsi="仿宋" w:eastAsia="仿宋"/>
          <w:sz w:val="32"/>
          <w:szCs w:val="32"/>
        </w:rPr>
        <w:t>万元，增长</w:t>
      </w:r>
      <w:r>
        <w:rPr>
          <w:rFonts w:hint="eastAsia" w:ascii="仿宋" w:hAnsi="仿宋" w:eastAsia="仿宋"/>
          <w:sz w:val="32"/>
          <w:szCs w:val="32"/>
          <w:lang w:val="en-US" w:eastAsia="zh-CN"/>
        </w:rPr>
        <w:t>9.45</w:t>
      </w:r>
      <w:r>
        <w:rPr>
          <w:rFonts w:hint="eastAsia" w:ascii="仿宋" w:hAnsi="仿宋" w:eastAsia="仿宋"/>
          <w:sz w:val="32"/>
          <w:szCs w:val="32"/>
        </w:rPr>
        <w:t>%，主要原因是</w:t>
      </w:r>
      <w:r>
        <w:rPr>
          <w:rFonts w:hint="eastAsia" w:ascii="仿宋" w:hAnsi="仿宋" w:eastAsia="仿宋"/>
          <w:sz w:val="32"/>
          <w:szCs w:val="32"/>
          <w:lang w:eastAsia="zh-CN"/>
        </w:rPr>
        <w:t>普法和行政执法监督任务较重，公务用车运行费增加。</w:t>
      </w:r>
    </w:p>
    <w:p>
      <w:pPr>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公务(执法执勤)用车编制2辆，实有2辆。2021年预计无因公出国事项，公务接待次数预计低于2020年</w:t>
      </w:r>
      <w:r>
        <w:rPr>
          <w:rFonts w:hint="eastAsia" w:ascii="仿宋" w:hAnsi="仿宋" w:eastAsia="仿宋"/>
          <w:sz w:val="32"/>
          <w:szCs w:val="32"/>
          <w:lang w:eastAsia="zh-CN"/>
        </w:rPr>
        <w:t>（</w:t>
      </w:r>
      <w:r>
        <w:rPr>
          <w:rFonts w:hint="eastAsia" w:ascii="仿宋" w:hAnsi="仿宋" w:eastAsia="仿宋"/>
          <w:sz w:val="32"/>
          <w:szCs w:val="32"/>
          <w:lang w:val="en-US" w:eastAsia="zh-CN"/>
        </w:rPr>
        <w:t>2020年公务接待5批次，40人次，均在县人民政府机关食堂接待</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ind w:firstLine="640" w:firstLineChars="200"/>
        <w:textAlignment w:val="auto"/>
        <w:rPr>
          <w:rFonts w:hint="eastAsia" w:ascii="黑体" w:hAnsi="黑体" w:eastAsia="黑体"/>
          <w:sz w:val="32"/>
          <w:szCs w:val="32"/>
        </w:rPr>
      </w:pPr>
      <w:r>
        <w:rPr>
          <w:rFonts w:hint="eastAsia" w:ascii="黑体" w:hAnsi="黑体" w:eastAsia="黑体"/>
          <w:sz w:val="32"/>
          <w:szCs w:val="32"/>
        </w:rPr>
        <w:t>八、2021年度政府性基金预算支出情况说明</w:t>
      </w:r>
    </w:p>
    <w:tbl>
      <w:tblPr>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9"/>
        <w:gridCol w:w="2538"/>
        <w:gridCol w:w="1697"/>
        <w:gridCol w:w="989"/>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3"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3"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部门名称：西藏朗县司法局</w:t>
            </w:r>
          </w:p>
        </w:tc>
        <w:tc>
          <w:tcPr>
            <w:tcW w:w="172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5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40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bookmarkStart w:id="0" w:name="_GoBack"/>
      <w:bookmarkEnd w:id="0"/>
      <w:r>
        <w:rPr>
          <w:rFonts w:hint="eastAsia" w:ascii="仿宋" w:hAnsi="仿宋" w:eastAsia="仿宋"/>
          <w:sz w:val="32"/>
          <w:szCs w:val="32"/>
          <w:lang w:eastAsia="zh-CN"/>
        </w:rPr>
        <w:t>朗县司法局</w:t>
      </w:r>
      <w:r>
        <w:rPr>
          <w:rFonts w:hint="eastAsia" w:ascii="仿宋" w:hAnsi="仿宋" w:eastAsia="仿宋"/>
          <w:sz w:val="32"/>
          <w:szCs w:val="32"/>
        </w:rPr>
        <w:t>2021年度没有使用政府性基金安排的支出。</w:t>
      </w:r>
    </w:p>
    <w:p>
      <w:pPr>
        <w:keepNext w:val="0"/>
        <w:keepLines w:val="0"/>
        <w:pageBreakBefore w:val="0"/>
        <w:widowControl w:val="0"/>
        <w:kinsoku/>
        <w:wordWrap/>
        <w:overflowPunct/>
        <w:topLinePunct w:val="0"/>
        <w:bidi w:val="0"/>
        <w:snapToGrid/>
        <w:ind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eastAsia="zh-CN"/>
        </w:rPr>
        <w:t>朗县司法局</w:t>
      </w:r>
      <w:r>
        <w:rPr>
          <w:rFonts w:hint="eastAsia" w:ascii="仿宋" w:hAnsi="仿宋" w:eastAsia="仿宋"/>
          <w:sz w:val="32"/>
          <w:szCs w:val="32"/>
        </w:rPr>
        <w:t>的机关运行经费财政拨款预算</w:t>
      </w:r>
      <w:r>
        <w:rPr>
          <w:rFonts w:hint="eastAsia" w:ascii="仿宋" w:hAnsi="仿宋" w:eastAsia="仿宋"/>
          <w:sz w:val="32"/>
          <w:szCs w:val="32"/>
          <w:lang w:val="en-US" w:eastAsia="zh-CN"/>
        </w:rPr>
        <w:t>19.56</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年预算增加</w:t>
      </w:r>
      <w:r>
        <w:rPr>
          <w:rFonts w:hint="eastAsia" w:ascii="仿宋" w:hAnsi="仿宋" w:eastAsia="仿宋"/>
          <w:sz w:val="32"/>
          <w:szCs w:val="32"/>
          <w:lang w:val="en-US" w:eastAsia="zh-CN"/>
        </w:rPr>
        <w:t>1.72</w:t>
      </w:r>
      <w:r>
        <w:rPr>
          <w:rFonts w:hint="eastAsia" w:ascii="仿宋" w:hAnsi="仿宋" w:eastAsia="仿宋"/>
          <w:sz w:val="32"/>
          <w:szCs w:val="32"/>
        </w:rPr>
        <w:t>万元，增长</w:t>
      </w:r>
      <w:r>
        <w:rPr>
          <w:rFonts w:hint="eastAsia" w:ascii="仿宋" w:hAnsi="仿宋" w:eastAsia="仿宋"/>
          <w:sz w:val="32"/>
          <w:szCs w:val="32"/>
          <w:lang w:val="en-US" w:eastAsia="zh-CN"/>
        </w:rPr>
        <w:t>9.64</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普法任务较重，本年度公务用车运行维护费有所增长，导致</w:t>
      </w:r>
      <w:r>
        <w:rPr>
          <w:rFonts w:hint="eastAsia" w:ascii="仿宋" w:hAnsi="仿宋" w:eastAsia="仿宋"/>
          <w:sz w:val="32"/>
          <w:szCs w:val="32"/>
        </w:rPr>
        <w:t>机关运行经费</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rPr>
        <w:t>。</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_GB2312" w:eastAsia="仿宋" w:cs="仿宋_GB2312" w:hAnsiTheme="minorHAnsi"/>
          <w:kern w:val="0"/>
          <w:sz w:val="32"/>
          <w:szCs w:val="32"/>
          <w:lang w:eastAsia="zh-CN"/>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w:t>
      </w:r>
      <w:r>
        <w:rPr>
          <w:rFonts w:hint="eastAsia" w:ascii="仿宋" w:hAnsi="仿宋" w:eastAsia="仿宋"/>
          <w:sz w:val="32"/>
          <w:szCs w:val="32"/>
          <w:lang w:eastAsia="zh-CN"/>
        </w:rPr>
        <w:t>无</w:t>
      </w:r>
      <w:r>
        <w:rPr>
          <w:rFonts w:hint="eastAsia" w:ascii="仿宋" w:hAnsi="仿宋" w:eastAsia="仿宋"/>
          <w:sz w:val="32"/>
          <w:szCs w:val="32"/>
        </w:rPr>
        <w:t>政府采购预算</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val="en-US" w:eastAsia="zh-CN"/>
        </w:rPr>
        <w:t>2020年12月31日，</w:t>
      </w: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2</w:t>
      </w:r>
      <w:r>
        <w:rPr>
          <w:rFonts w:hint="eastAsia" w:ascii="仿宋" w:hAnsi="仿宋" w:eastAsia="仿宋"/>
          <w:sz w:val="32"/>
          <w:szCs w:val="32"/>
        </w:rPr>
        <w:t>辆，其中，执法执勤用车</w:t>
      </w:r>
      <w:r>
        <w:rPr>
          <w:rFonts w:hint="eastAsia" w:ascii="仿宋" w:hAnsi="仿宋" w:eastAsia="仿宋"/>
          <w:sz w:val="32"/>
          <w:szCs w:val="32"/>
          <w:lang w:val="en-US" w:eastAsia="zh-CN"/>
        </w:rPr>
        <w:t>2</w:t>
      </w:r>
      <w:r>
        <w:rPr>
          <w:rFonts w:hint="eastAsia" w:ascii="仿宋" w:hAnsi="仿宋" w:eastAsia="仿宋"/>
          <w:sz w:val="32"/>
          <w:szCs w:val="32"/>
        </w:rPr>
        <w:t>辆。单位</w:t>
      </w:r>
      <w:r>
        <w:rPr>
          <w:rFonts w:hint="eastAsia" w:ascii="仿宋" w:hAnsi="仿宋" w:eastAsia="仿宋"/>
          <w:sz w:val="32"/>
          <w:szCs w:val="32"/>
          <w:lang w:eastAsia="zh-CN"/>
        </w:rPr>
        <w:t>无</w:t>
      </w:r>
      <w:r>
        <w:rPr>
          <w:rFonts w:hint="eastAsia" w:ascii="仿宋" w:hAnsi="仿宋" w:eastAsia="仿宋"/>
          <w:sz w:val="32"/>
          <w:szCs w:val="32"/>
        </w:rPr>
        <w:t>价值</w:t>
      </w:r>
      <w:r>
        <w:rPr>
          <w:rFonts w:ascii="仿宋" w:hAnsi="仿宋" w:eastAsia="仿宋"/>
          <w:sz w:val="32"/>
          <w:szCs w:val="32"/>
        </w:rPr>
        <w:t>50</w:t>
      </w:r>
      <w:r>
        <w:rPr>
          <w:rFonts w:hint="eastAsia" w:ascii="仿宋" w:hAnsi="仿宋" w:eastAsia="仿宋"/>
          <w:sz w:val="32"/>
          <w:szCs w:val="32"/>
        </w:rPr>
        <w:t>万元以上通用设备，单位</w:t>
      </w:r>
      <w:r>
        <w:rPr>
          <w:rFonts w:hint="eastAsia" w:ascii="仿宋" w:hAnsi="仿宋" w:eastAsia="仿宋"/>
          <w:sz w:val="32"/>
          <w:szCs w:val="32"/>
          <w:lang w:eastAsia="zh-CN"/>
        </w:rPr>
        <w:t>无</w:t>
      </w:r>
      <w:r>
        <w:rPr>
          <w:rFonts w:hint="eastAsia" w:ascii="仿宋" w:hAnsi="仿宋" w:eastAsia="仿宋"/>
          <w:sz w:val="32"/>
          <w:szCs w:val="32"/>
        </w:rPr>
        <w:t>价值</w:t>
      </w:r>
      <w:r>
        <w:rPr>
          <w:rFonts w:ascii="仿宋" w:hAnsi="仿宋" w:eastAsia="仿宋"/>
          <w:sz w:val="32"/>
          <w:szCs w:val="32"/>
        </w:rPr>
        <w:t>100</w:t>
      </w:r>
      <w:r>
        <w:rPr>
          <w:rFonts w:hint="eastAsia" w:ascii="仿宋" w:hAnsi="仿宋" w:eastAsia="仿宋"/>
          <w:sz w:val="32"/>
          <w:szCs w:val="32"/>
        </w:rPr>
        <w:t>万元以上专用设备。2021年一般公共预算未安排车辆更新购置资金。</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ascii="仿宋" w:hAnsi="仿宋" w:eastAsia="仿宋"/>
          <w:b/>
          <w:sz w:val="32"/>
          <w:szCs w:val="32"/>
        </w:rPr>
      </w:pPr>
      <w:r>
        <w:rPr>
          <w:rFonts w:hint="eastAsia" w:ascii="楷体" w:hAnsi="楷体" w:eastAsia="楷体"/>
          <w:sz w:val="32"/>
          <w:szCs w:val="32"/>
        </w:rPr>
        <w:t>（四）2021年预算绩效目标管理情况。</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2021年对预算20万元以上的项目支出实行绩效管理，</w:t>
      </w:r>
      <w:r>
        <w:rPr>
          <w:rFonts w:hint="eastAsia" w:ascii="仿宋" w:hAnsi="仿宋" w:eastAsia="仿宋"/>
          <w:sz w:val="32"/>
          <w:szCs w:val="32"/>
        </w:rPr>
        <w:t>实行绩效目标管理</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lang w:val="en-US" w:eastAsia="zh-CN"/>
        </w:rPr>
        <w:t>30.68万元。附</w:t>
      </w:r>
      <w:r>
        <w:rPr>
          <w:rFonts w:hint="eastAsia" w:ascii="仿宋" w:hAnsi="仿宋" w:eastAsia="仿宋"/>
          <w:sz w:val="32"/>
          <w:szCs w:val="32"/>
          <w:lang w:eastAsia="zh-CN"/>
        </w:rPr>
        <w:t>项目支出绩效表。</w:t>
      </w:r>
    </w:p>
    <w:p>
      <w:pPr>
        <w:keepNext w:val="0"/>
        <w:keepLines w:val="0"/>
        <w:pageBreakBefore w:val="0"/>
        <w:widowControl w:val="0"/>
        <w:kinsoku/>
        <w:wordWrap/>
        <w:overflowPunct/>
        <w:topLinePunct w:val="0"/>
        <w:bidi w:val="0"/>
        <w:snapToGrid/>
        <w:ind w:firstLine="640" w:firstLineChars="200"/>
        <w:textAlignment w:val="auto"/>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朗县司法局</w:t>
      </w:r>
      <w:r>
        <w:rPr>
          <w:rFonts w:hint="eastAsia" w:ascii="仿宋_GB2312" w:hAnsi="仿宋_GB2312" w:eastAsia="仿宋_GB2312" w:cs="仿宋_GB2312"/>
          <w:sz w:val="32"/>
          <w:szCs w:val="32"/>
        </w:rPr>
        <w:t>没有扶贫相关资金。</w:t>
      </w:r>
    </w:p>
    <w:p>
      <w:pPr>
        <w:keepNext w:val="0"/>
        <w:keepLines w:val="0"/>
        <w:pageBreakBefore w:val="0"/>
        <w:widowControl w:val="0"/>
        <w:kinsoku/>
        <w:wordWrap/>
        <w:overflowPunct/>
        <w:topLinePunct w:val="0"/>
        <w:bidi w:val="0"/>
        <w:snapToGrid/>
        <w:ind w:firstLine="640" w:firstLineChars="200"/>
        <w:textAlignment w:val="auto"/>
        <w:rPr>
          <w:rFonts w:hint="eastAsia" w:ascii="楷体" w:hAnsi="楷体" w:eastAsia="楷体"/>
          <w:sz w:val="32"/>
          <w:szCs w:val="32"/>
        </w:rPr>
      </w:pPr>
      <w:r>
        <w:rPr>
          <w:rFonts w:hint="eastAsia" w:ascii="楷体" w:hAnsi="楷体" w:eastAsia="楷体"/>
          <w:sz w:val="32"/>
          <w:szCs w:val="32"/>
        </w:rPr>
        <w:t>（六）政府债务情况。</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朗县司法局无政府债券资金。</w:t>
      </w:r>
    </w:p>
    <w:p>
      <w:pPr>
        <w:ind w:firstLine="960" w:firstLineChars="300"/>
        <w:rPr>
          <w:rFonts w:hint="eastAsia" w:ascii="仿宋_GB2312" w:hAnsi="仿宋_GB2312" w:eastAsia="仿宋_GB2312" w:cs="仿宋_GB2312"/>
          <w:sz w:val="32"/>
          <w:szCs w:val="32"/>
          <w:lang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9CA2B39"/>
    <w:rsid w:val="1CA32C1B"/>
    <w:rsid w:val="1ECD70CE"/>
    <w:rsid w:val="2E813B0C"/>
    <w:rsid w:val="32975B34"/>
    <w:rsid w:val="3DD162BD"/>
    <w:rsid w:val="56BF2266"/>
    <w:rsid w:val="61EB0ECB"/>
    <w:rsid w:val="69CD5FA6"/>
    <w:rsid w:val="6B222BA0"/>
    <w:rsid w:val="70BE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63</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2021-03-12T03:20:28Z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