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640" w:lineRule="exact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640" w:lineRule="exact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640" w:lineRule="exact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640" w:lineRule="exact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640" w:lineRule="exact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640" w:lineRule="exact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640" w:lineRule="exact"/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朗县（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团委</w:t>
      </w:r>
      <w:r>
        <w:rPr>
          <w:rFonts w:ascii="黑体" w:eastAsia="黑体"/>
          <w:b/>
          <w:sz w:val="48"/>
          <w:szCs w:val="48"/>
        </w:rPr>
        <w:t>）</w:t>
      </w:r>
      <w:r>
        <w:rPr>
          <w:rFonts w:hint="eastAsia" w:ascii="黑体" w:eastAsia="黑体"/>
          <w:b/>
          <w:sz w:val="48"/>
          <w:szCs w:val="48"/>
        </w:rPr>
        <w:t xml:space="preserve"> 2019年度部门预算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2019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>4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3日 </w:t>
      </w:r>
    </w:p>
    <w:p>
      <w:pPr>
        <w:adjustRightInd/>
        <w:snapToGrid/>
        <w:spacing w:after="225" w:line="480" w:lineRule="atLeas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7"/>
          <w:szCs w:val="27"/>
        </w:rPr>
        <w:t>目</w:t>
      </w:r>
      <w:r>
        <w:rPr>
          <w:rFonts w:ascii="黑体" w:hAnsi="黑体" w:eastAsia="黑体" w:cs="宋体"/>
          <w:sz w:val="27"/>
          <w:szCs w:val="27"/>
        </w:rPr>
        <w:t xml:space="preserve"> </w:t>
      </w:r>
      <w:r>
        <w:rPr>
          <w:rFonts w:hint="eastAsia" w:ascii="黑体" w:hAnsi="黑体" w:eastAsia="黑体" w:cs="宋体"/>
          <w:sz w:val="27"/>
          <w:szCs w:val="27"/>
        </w:rPr>
        <w:t>录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第一部分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中国共产主义青年团朗县委员会概况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一、部门预算单位构成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二、部门职责和机构设置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第二部分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中国共产主义青年团朗县委员会（部门）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年度部门预算明细表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一、财政拨款收支总表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二、一般公共预算支出表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三、一般公共预算基本支出表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四、一般公共预算“三公”经费支出表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五、政府性基金预算支出表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六、部门收支总表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七、部门收入总表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八、部门支出总表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第三部分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中国共产主义青年团朗县委员会（部门）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年度部门预算数据分析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第四部分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名词解释</w:t>
      </w:r>
    </w:p>
    <w:p>
      <w:pPr>
        <w:adjustRightInd/>
        <w:snapToGrid/>
        <w:spacing w:before="225" w:after="225" w:line="480" w:lineRule="atLeas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第一部分</w:t>
      </w:r>
      <w:r>
        <w:rPr>
          <w:rFonts w:ascii="黑体" w:hAnsi="黑体" w:eastAsia="黑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中国共产主义青年团朗县委员会</w:t>
      </w:r>
      <w:r>
        <w:rPr>
          <w:rFonts w:hint="eastAsia" w:ascii="黑体" w:hAnsi="黑体" w:eastAsia="黑体" w:cs="宋体"/>
          <w:sz w:val="24"/>
          <w:szCs w:val="24"/>
        </w:rPr>
        <w:t>（部门）概况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一、部门预算单位构成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团县委是县委下属副科级行政单位。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二、部门职责和机构设置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（一）部门职责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组织督促各学校开展团队活动及组织生活、培训、选拔、评选团队干部和优秀工作者，建立完善团队各相关文书及电子档案，开展好学业辅导和心理疏导等各项关爱活动，统筹做好关爱留守儿童、家庭教育活动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团委组织团员青年学习马列主义毛泽东思想以及党的路线、方针、政策，对团员青年进行培训教育，开展各项日常性工作，按时收交团费。认真执行团组织的各项指示和决议。了解和反映团员青年的思想、要求委会他们的权益，开展各项文体活动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、完成县党委，政府交办的其他工作。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（二）部门机构设置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根据上述职责，中国共产主义青年团朗县委员会，具体如下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领导全县共青团工作，对全县青少年社团组织进行指导和管理，参与制订全县青少年事业发展规划和青少年工作方针、政策。积极维护青少年的利益和合法权益，参与监督青少年法规的执行。调查青少年思想动态和青少年工作情况，研究青少年运动、青少年工作理论和思想教育问题，提出相应的对策。协助政府教育部门组织中小学学生开展各具特色的教育活动，维护学校稳定和社会安定团结。组织和带领青年在改革开放和现代化建设中发挥生力军和突击作用。负责全县青年统战、民族、宗教工作，做好青年统战对象的团结教育工作，维护、促进祖国统一和民族团结。</w:t>
      </w:r>
    </w:p>
    <w:p>
      <w:pPr>
        <w:adjustRightInd/>
        <w:snapToGrid/>
        <w:spacing w:before="225" w:after="225" w:line="480" w:lineRule="atLeas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第二部分</w:t>
      </w:r>
      <w:r>
        <w:rPr>
          <w:rFonts w:ascii="黑体" w:hAnsi="黑体" w:eastAsia="黑体" w:cs="宋体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sz w:val="24"/>
          <w:szCs w:val="24"/>
        </w:rPr>
        <w:t>中国共产主义青年团朗县委员会（部门）</w:t>
      </w:r>
      <w:r>
        <w:rPr>
          <w:rFonts w:ascii="黑体" w:hAnsi="黑体" w:eastAsia="黑体" w:cs="宋体"/>
          <w:sz w:val="24"/>
          <w:szCs w:val="24"/>
        </w:rPr>
        <w:t>2019</w:t>
      </w:r>
      <w:r>
        <w:rPr>
          <w:rFonts w:hint="eastAsia" w:ascii="黑体" w:hAnsi="黑体" w:eastAsia="黑体" w:cs="宋体"/>
          <w:sz w:val="24"/>
          <w:szCs w:val="24"/>
        </w:rPr>
        <w:t>年度预算明细表</w:t>
      </w:r>
    </w:p>
    <w:p>
      <w:pPr>
        <w:adjustRightInd/>
        <w:snapToGrid/>
        <w:spacing w:before="225" w:after="225" w:line="480" w:lineRule="atLeas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详见附表</w:t>
      </w:r>
      <w:r>
        <w:rPr>
          <w:rFonts w:ascii="宋体" w:hAnsi="宋体" w:eastAsia="宋体" w:cs="宋体"/>
          <w:sz w:val="24"/>
          <w:szCs w:val="24"/>
        </w:rPr>
        <w:t>)</w:t>
      </w:r>
    </w:p>
    <w:p>
      <w:pPr>
        <w:adjustRightInd/>
        <w:snapToGrid/>
        <w:spacing w:before="225" w:after="225" w:line="480" w:lineRule="atLeas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第三部分</w:t>
      </w:r>
      <w:r>
        <w:rPr>
          <w:rFonts w:ascii="黑体" w:hAnsi="黑体" w:eastAsia="黑体" w:cs="宋体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sz w:val="24"/>
          <w:szCs w:val="24"/>
        </w:rPr>
        <w:t>中国共产主义青年团朗县委员会（部门）</w:t>
      </w:r>
      <w:r>
        <w:rPr>
          <w:rFonts w:ascii="黑体" w:hAnsi="黑体" w:eastAsia="黑体" w:cs="宋体"/>
          <w:sz w:val="24"/>
          <w:szCs w:val="24"/>
        </w:rPr>
        <w:t>2019</w:t>
      </w:r>
      <w:r>
        <w:rPr>
          <w:rFonts w:hint="eastAsia" w:ascii="黑体" w:hAnsi="黑体" w:eastAsia="黑体" w:cs="宋体"/>
          <w:sz w:val="24"/>
          <w:szCs w:val="24"/>
        </w:rPr>
        <w:t>年度部门预算数据分析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一、</w:t>
      </w:r>
      <w:r>
        <w:rPr>
          <w:rFonts w:ascii="黑体" w:hAnsi="黑体" w:eastAsia="黑体" w:cs="宋体"/>
          <w:sz w:val="24"/>
          <w:szCs w:val="24"/>
        </w:rPr>
        <w:t>2019</w:t>
      </w:r>
      <w:r>
        <w:rPr>
          <w:rFonts w:hint="eastAsia" w:ascii="黑体" w:hAnsi="黑体" w:eastAsia="黑体" w:cs="宋体"/>
          <w:sz w:val="24"/>
          <w:szCs w:val="24"/>
        </w:rPr>
        <w:t>年度财政拨款收支预算情况总体说明。</w:t>
      </w:r>
    </w:p>
    <w:p>
      <w:pPr>
        <w:adjustRightInd/>
        <w:snapToGrid/>
        <w:spacing w:before="100" w:beforeAutospacing="1" w:after="100" w:afterAutospacing="1" w:line="480" w:lineRule="atLeast"/>
        <w:ind w:firstLine="64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中国共产主义青年团朗县委员会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年财政拨款收支总预算43.67万元，收入全部为一般公共预算，无政府性基金预算拨款，其中：当年财政拨款43.67万元；上年结转10.16万元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支出包括：一般公共服务支出34.50万元、社会保障和就业支出4.39万元、卫生健康支出2.31万元、住房保障支出2.47万元。</w:t>
      </w:r>
    </w:p>
    <w:p>
      <w:pPr>
        <w:adjustRightInd/>
        <w:snapToGrid/>
        <w:spacing w:before="100" w:beforeAutospacing="1" w:after="100" w:afterAutospacing="1" w:line="555" w:lineRule="atLeast"/>
        <w:ind w:firstLine="64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中国共产主义青年团朗县委员会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年财政拨款预算用于以下方面：一般公共服务（类）支出占79</w:t>
      </w:r>
      <w:r>
        <w:rPr>
          <w:rFonts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；社会保障和就业（类）支出占10.05</w:t>
      </w:r>
      <w:r>
        <w:rPr>
          <w:rFonts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；卫生健康（类）支出</w:t>
      </w:r>
      <w:r>
        <w:rPr>
          <w:rFonts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29</w:t>
      </w:r>
      <w:r>
        <w:rPr>
          <w:rFonts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；住房保障支出（类）出占5.66</w:t>
      </w:r>
      <w:r>
        <w:rPr>
          <w:rFonts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djustRightInd/>
        <w:snapToGrid/>
        <w:spacing w:before="100" w:beforeAutospacing="1" w:after="100" w:afterAutospacing="1" w:line="555" w:lineRule="atLeast"/>
        <w:ind w:firstLine="64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主要原因：由于2018年工青妇三家单位共同预算，所以于2019年预算数不作比较。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二、</w:t>
      </w:r>
      <w:r>
        <w:rPr>
          <w:rFonts w:ascii="黑体" w:hAnsi="黑体" w:eastAsia="黑体" w:cs="宋体"/>
          <w:sz w:val="24"/>
          <w:szCs w:val="24"/>
        </w:rPr>
        <w:t>2019</w:t>
      </w:r>
      <w:r>
        <w:rPr>
          <w:rFonts w:hint="eastAsia" w:ascii="黑体" w:hAnsi="黑体" w:eastAsia="黑体" w:cs="宋体"/>
          <w:sz w:val="24"/>
          <w:szCs w:val="24"/>
        </w:rPr>
        <w:t>年度一般公共预算当年财政拨款情况说明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中国共产主义青年团朗县委员会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年财政拨款支出年初预算数43.67万元，其中：基本支出35.8万元，项目支出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7.87</w:t>
      </w:r>
      <w:r>
        <w:rPr>
          <w:rFonts w:hint="eastAsia" w:ascii="宋体" w:hAnsi="宋体" w:eastAsia="宋体" w:cs="宋体"/>
          <w:sz w:val="24"/>
          <w:szCs w:val="24"/>
        </w:rPr>
        <w:t>万元。具体情况如下：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年一般公共服务预算数（类）群众团体事务（款）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34.5</w:t>
      </w:r>
      <w:r>
        <w:rPr>
          <w:rFonts w:hint="eastAsia" w:ascii="宋体" w:hAnsi="宋体" w:eastAsia="宋体" w:cs="宋体"/>
          <w:sz w:val="24"/>
          <w:szCs w:val="24"/>
        </w:rPr>
        <w:t>万元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其中：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、行政运行（项）26.63万元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、一般行政管理事务（项）4.88万元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、其他群众团体事务（项）2.99万元。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55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主要原因：由于2018年工青妇三家单位共同预算，所以于2019年预算数不作比较。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（二）社会保障和就业支出（类）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年预算数4.39万元。其中：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480" w:lineRule="atLeast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、行政事业单位离退休（款）机关事业单位基本养老保险缴费支出（项）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年预算数4.20万元。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55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、财政对其他社会保险基金的补助（款）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年预算数0.19万元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其中：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财政对工伤保险基金的补助（项）2019年预算数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0.04</w:t>
      </w:r>
      <w:r>
        <w:rPr>
          <w:rFonts w:hint="eastAsia" w:ascii="宋体" w:hAnsi="宋体" w:eastAsia="宋体" w:cs="宋体"/>
          <w:sz w:val="24"/>
          <w:szCs w:val="24"/>
        </w:rPr>
        <w:t>万元；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）财政对生育保险基金的补助（项）2019年预算数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0.15</w:t>
      </w:r>
      <w:r>
        <w:rPr>
          <w:rFonts w:hint="eastAsia" w:ascii="宋体" w:hAnsi="宋体" w:eastAsia="宋体" w:cs="宋体"/>
          <w:sz w:val="24"/>
          <w:szCs w:val="24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55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主要原因：由于2018年工青妇三家单位共同预算，所以于2019年预算数不作比较。</w:t>
      </w:r>
    </w:p>
    <w:p>
      <w:pPr>
        <w:numPr>
          <w:ilvl w:val="0"/>
          <w:numId w:val="1"/>
        </w:numPr>
        <w:adjustRightInd/>
        <w:snapToGrid/>
        <w:spacing w:before="225" w:after="225" w:line="480" w:lineRule="atLeast"/>
        <w:ind w:left="600" w:leftChars="0" w:firstLine="0"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卫生健康支出（类）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年预算数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2.31万元，其中：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行政事业单位医疗（款）公务员医疗补助（项）2019年预算数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0.63</w:t>
      </w:r>
      <w:r>
        <w:rPr>
          <w:rFonts w:hint="eastAsia" w:ascii="宋体" w:hAnsi="宋体" w:eastAsia="宋体" w:cs="宋体"/>
          <w:sz w:val="24"/>
          <w:szCs w:val="24"/>
        </w:rPr>
        <w:t>万元。</w:t>
      </w:r>
    </w:p>
    <w:p>
      <w:pPr>
        <w:adjustRightInd/>
        <w:snapToGrid/>
        <w:spacing w:before="100" w:beforeAutospacing="1" w:after="100" w:afterAutospacing="1" w:line="555" w:lineRule="atLeast"/>
        <w:ind w:firstLine="64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财政对基本医疗保险基金的补助（款）财政对职工基本医疗保险基金的补助（项）2019年预算数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1.68</w:t>
      </w:r>
      <w:r>
        <w:rPr>
          <w:rFonts w:hint="eastAsia" w:ascii="宋体" w:hAnsi="宋体" w:eastAsia="宋体" w:cs="宋体"/>
          <w:sz w:val="24"/>
          <w:szCs w:val="24"/>
        </w:rPr>
        <w:t>万元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adjustRightInd/>
        <w:snapToGrid/>
        <w:spacing w:before="100" w:beforeAutospacing="1" w:after="100" w:afterAutospacing="1" w:line="555" w:lineRule="atLeast"/>
        <w:ind w:firstLine="64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主要原因：由于2018年工青妇三家单位共同预算，所以于2019年预算数不作比较。</w:t>
      </w:r>
    </w:p>
    <w:p>
      <w:pPr>
        <w:adjustRightInd/>
        <w:snapToGrid/>
        <w:spacing w:before="100" w:beforeAutospacing="1" w:after="100" w:afterAutospacing="1" w:line="555" w:lineRule="atLeast"/>
        <w:ind w:firstLine="64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四）</w:t>
      </w:r>
      <w:r>
        <w:rPr>
          <w:rFonts w:hint="eastAsia" w:ascii="宋体" w:hAnsi="宋体" w:eastAsia="宋体" w:cs="宋体"/>
          <w:sz w:val="24"/>
          <w:szCs w:val="24"/>
        </w:rPr>
        <w:t>住房保障支出（类）住房改革支出（款）住房公积金（项）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年预算数2.47万元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三、</w:t>
      </w:r>
      <w:r>
        <w:rPr>
          <w:rFonts w:ascii="黑体" w:hAnsi="黑体" w:eastAsia="黑体" w:cs="宋体"/>
          <w:sz w:val="24"/>
          <w:szCs w:val="24"/>
        </w:rPr>
        <w:t>2019</w:t>
      </w:r>
      <w:r>
        <w:rPr>
          <w:rFonts w:hint="eastAsia" w:ascii="黑体" w:hAnsi="黑体" w:eastAsia="黑体" w:cs="宋体"/>
          <w:sz w:val="24"/>
          <w:szCs w:val="24"/>
        </w:rPr>
        <w:t>年度一般公共预算基本支出情况说明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2019年一般公共预算基本支出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35.8</w:t>
      </w:r>
      <w:r>
        <w:rPr>
          <w:rFonts w:hint="eastAsia" w:ascii="宋体" w:hAnsi="宋体" w:eastAsia="宋体" w:cs="宋体"/>
          <w:sz w:val="24"/>
          <w:szCs w:val="24"/>
        </w:rPr>
        <w:t>万元。其中：人员经费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33.53</w:t>
      </w:r>
      <w:r>
        <w:rPr>
          <w:rFonts w:hint="eastAsia" w:ascii="宋体" w:hAnsi="宋体" w:eastAsia="宋体" w:cs="宋体"/>
          <w:sz w:val="24"/>
          <w:szCs w:val="24"/>
        </w:rPr>
        <w:t>万元，主要包括：基本工资、津贴补贴、奖金、机关事业单位基本养老保险缴费、职工基本医疗保险、公务员医疗补助、其他社会保障缴费、住房公积金、其他工资福利、其他对个人和家庭的补助支出。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公用经费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2.27</w:t>
      </w:r>
      <w:r>
        <w:rPr>
          <w:rFonts w:hint="eastAsia" w:ascii="宋体" w:hAnsi="宋体" w:eastAsia="宋体" w:cs="宋体"/>
          <w:sz w:val="24"/>
          <w:szCs w:val="24"/>
        </w:rPr>
        <w:t xml:space="preserve">万元，主要包括：办公费、水费、电费、邮电费、取暖费、差旅费、会议费、培训费、公务接待费、公务用车运行维护费、维修（护）费、其他商品和服务支出。 </w:t>
      </w:r>
      <w:r>
        <w:rPr>
          <w:rFonts w:ascii="宋体" w:hAnsi="宋体" w:eastAsia="宋体" w:cs="宋体"/>
          <w:sz w:val="24"/>
          <w:szCs w:val="24"/>
        </w:rPr>
        <w:t xml:space="preserve">   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四、</w:t>
      </w:r>
      <w:r>
        <w:rPr>
          <w:rFonts w:ascii="黑体" w:hAnsi="黑体" w:eastAsia="黑体" w:cs="宋体"/>
          <w:sz w:val="24"/>
          <w:szCs w:val="24"/>
        </w:rPr>
        <w:t>2019</w:t>
      </w:r>
      <w:r>
        <w:rPr>
          <w:rFonts w:hint="eastAsia" w:ascii="黑体" w:hAnsi="黑体" w:eastAsia="黑体" w:cs="宋体"/>
          <w:sz w:val="24"/>
          <w:szCs w:val="24"/>
        </w:rPr>
        <w:t>年度一般公共预算“三公”经费预算情况说明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年“三公”经费预算数</w:t>
      </w:r>
      <w:r>
        <w:rPr>
          <w:rFonts w:ascii="宋体" w:hAnsi="宋体" w:eastAsia="宋体" w:cs="宋体"/>
          <w:sz w:val="24"/>
          <w:szCs w:val="24"/>
        </w:rPr>
        <w:t>0.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万元。其中：因公出国（境）费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万元，公务用车购置及运行费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万元，公务接待费</w:t>
      </w:r>
      <w:r>
        <w:rPr>
          <w:rFonts w:ascii="宋体" w:hAnsi="宋体" w:eastAsia="宋体" w:cs="宋体"/>
          <w:sz w:val="24"/>
          <w:szCs w:val="24"/>
        </w:rPr>
        <w:t>0.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万元。</w:t>
      </w:r>
    </w:p>
    <w:p>
      <w:pPr>
        <w:adjustRightInd/>
        <w:snapToGrid/>
        <w:spacing w:before="100" w:beforeAutospacing="1" w:after="100" w:afterAutospacing="1" w:line="555" w:lineRule="atLeast"/>
        <w:ind w:firstLine="64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主要原因：由于2018年工青妇三家单位共同预算，所以于2019年预算数不作比较。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2018</w:t>
      </w:r>
      <w:r>
        <w:rPr>
          <w:rFonts w:hint="eastAsia" w:ascii="宋体" w:hAnsi="宋体" w:eastAsia="宋体" w:cs="宋体"/>
          <w:sz w:val="24"/>
          <w:szCs w:val="24"/>
        </w:rPr>
        <w:t>年，我单位较好的贯彻落实中央八项规定、自治区约法十章等方针政策，按照厉行节约原则，进一步严格执行公务接待审批程序，控制接待人数和批次，严格落实公务车辆各项管理制度，进一步规范车辆使用及维修各环节工作，切实缩减“三公”经费支出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五、</w:t>
      </w:r>
      <w:r>
        <w:rPr>
          <w:rFonts w:ascii="黑体" w:hAnsi="黑体" w:eastAsia="黑体" w:cs="宋体"/>
          <w:sz w:val="24"/>
          <w:szCs w:val="24"/>
        </w:rPr>
        <w:t>2019</w:t>
      </w:r>
      <w:r>
        <w:rPr>
          <w:rFonts w:hint="eastAsia" w:ascii="黑体" w:hAnsi="黑体" w:eastAsia="黑体" w:cs="宋体"/>
          <w:sz w:val="24"/>
          <w:szCs w:val="24"/>
        </w:rPr>
        <w:t>年度政府性基金预算支出情况说明</w:t>
      </w:r>
    </w:p>
    <w:tbl>
      <w:tblPr>
        <w:tblStyle w:val="3"/>
        <w:tblpPr w:leftFromText="180" w:rightFromText="180" w:vertAnchor="text" w:horzAnchor="page" w:tblpXSpec="center" w:tblpY="314"/>
        <w:tblOverlap w:val="never"/>
        <w:tblW w:w="10543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1680"/>
        <w:gridCol w:w="1679"/>
        <w:gridCol w:w="1909"/>
        <w:gridCol w:w="1909"/>
        <w:gridCol w:w="15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1054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政府性基金预算支出表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tblCellSpacing w:w="0" w:type="dxa"/>
          <w:jc w:val="center"/>
        </w:trPr>
        <w:tc>
          <w:tcPr>
            <w:tcW w:w="70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填报单位：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团县委</w:t>
            </w:r>
          </w:p>
        </w:tc>
        <w:tc>
          <w:tcPr>
            <w:tcW w:w="3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tblCellSpacing w:w="0" w:type="dxa"/>
          <w:jc w:val="center"/>
        </w:trPr>
        <w:tc>
          <w:tcPr>
            <w:tcW w:w="1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科目编码</w:t>
            </w:r>
          </w:p>
        </w:tc>
        <w:tc>
          <w:tcPr>
            <w:tcW w:w="1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科目名称　</w:t>
            </w:r>
          </w:p>
        </w:tc>
        <w:tc>
          <w:tcPr>
            <w:tcW w:w="16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单位代码　</w:t>
            </w:r>
          </w:p>
        </w:tc>
        <w:tc>
          <w:tcPr>
            <w:tcW w:w="5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本年政府性基金预算财政拨款支出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tblCellSpacing w:w="0" w:type="dxa"/>
          <w:jc w:val="center"/>
        </w:trPr>
        <w:tc>
          <w:tcPr>
            <w:tcW w:w="1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合计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基本支出</w:t>
            </w:r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225" w:after="225" w:line="48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adjustRightInd/>
        <w:snapToGrid/>
        <w:spacing w:before="225" w:after="225" w:line="480" w:lineRule="atLeast"/>
        <w:ind w:firstLine="480"/>
        <w:jc w:val="both"/>
        <w:rPr>
          <w:rFonts w:hint="eastAsia" w:ascii="黑体" w:hAnsi="黑体" w:eastAsia="黑体" w:cs="宋体"/>
          <w:sz w:val="24"/>
          <w:szCs w:val="24"/>
        </w:rPr>
      </w:pP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中国共产主义青年团朗县委员会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年度无政府性基金安排的支出。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六、</w:t>
      </w:r>
      <w:r>
        <w:rPr>
          <w:rFonts w:ascii="黑体" w:hAnsi="黑体" w:eastAsia="黑体" w:cs="宋体"/>
          <w:sz w:val="24"/>
          <w:szCs w:val="24"/>
        </w:rPr>
        <w:t>2019</w:t>
      </w:r>
      <w:r>
        <w:rPr>
          <w:rFonts w:hint="eastAsia" w:ascii="黑体" w:hAnsi="黑体" w:eastAsia="黑体" w:cs="宋体"/>
          <w:sz w:val="24"/>
          <w:szCs w:val="24"/>
        </w:rPr>
        <w:t>年度收支预算情况总体说明</w:t>
      </w:r>
    </w:p>
    <w:p>
      <w:pPr>
        <w:adjustRightInd/>
        <w:snapToGrid/>
        <w:spacing w:before="100" w:beforeAutospacing="1" w:after="100" w:afterAutospacing="1" w:line="48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2019</w:t>
      </w:r>
      <w:r>
        <w:rPr>
          <w:rFonts w:hint="eastAsia" w:ascii="宋体" w:hAnsi="宋体" w:eastAsia="宋体" w:cs="宋体"/>
          <w:sz w:val="24"/>
          <w:szCs w:val="24"/>
        </w:rPr>
        <w:t>年预算总收入5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.83万元（含上年转入10.16万元），收入主要为当年财政拨款，无政府性基金预算拨款。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七、关于部门收入总表的说明</w:t>
      </w:r>
    </w:p>
    <w:p>
      <w:pPr>
        <w:adjustRightInd/>
        <w:snapToGrid/>
        <w:spacing w:before="100" w:beforeAutospacing="1" w:after="100" w:afterAutospacing="1" w:line="555" w:lineRule="atLeast"/>
        <w:ind w:firstLine="6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年预算总收入53.83万元（含上年转入10.16万元），收入主要为当年财政拨款，无政府性基金预算拨款。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八、关于部门支出总表的说明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中国共产主义青年团朗县委员会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年支出预算53.83万元，均为一般共公预算财政拨款支出。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九、其他重要事项的情况说明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（一）机关运行经费安排使用情况说明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中国共产主义青年团朗县委员会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年机关运行经费财政拨款预算2.27万元。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（二）政府采购情况说明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bookmarkStart w:id="0" w:name="_Hlk5291369"/>
      <w:r>
        <w:rPr>
          <w:rFonts w:hint="eastAsia" w:ascii="宋体" w:hAnsi="宋体" w:eastAsia="宋体" w:cs="宋体"/>
          <w:sz w:val="24"/>
          <w:szCs w:val="24"/>
        </w:rPr>
        <w:t>中国共产主义青年团朗县委员会</w:t>
      </w:r>
      <w:bookmarkEnd w:id="0"/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年预算未安排政府采购业务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（三）国有资产占有使用情况说明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截止</w:t>
      </w:r>
      <w:r>
        <w:rPr>
          <w:rFonts w:ascii="宋体" w:hAnsi="宋体" w:eastAsia="宋体" w:cs="宋体"/>
          <w:sz w:val="24"/>
          <w:szCs w:val="24"/>
        </w:rPr>
        <w:t>2018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日，中国共产主义青年团朗县委员会无车辆。</w:t>
      </w: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年部门预算未安排车辆购置。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（四）预算绩效情况说明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2019</w:t>
      </w:r>
      <w:r>
        <w:rPr>
          <w:rFonts w:hint="eastAsia" w:ascii="宋体" w:hAnsi="宋体" w:eastAsia="宋体" w:cs="宋体"/>
          <w:sz w:val="24"/>
          <w:szCs w:val="24"/>
        </w:rPr>
        <w:t>年中国共产主义青年团朗县委员会正在推行绩效目标管理。</w:t>
      </w:r>
    </w:p>
    <w:p>
      <w:pPr>
        <w:adjustRightInd/>
        <w:snapToGrid/>
        <w:spacing w:before="225" w:after="225" w:line="480" w:lineRule="atLeas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第四部分</w:t>
      </w:r>
      <w:r>
        <w:rPr>
          <w:rFonts w:ascii="黑体" w:hAnsi="黑体" w:eastAsia="黑体" w:cs="宋体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sz w:val="24"/>
          <w:szCs w:val="24"/>
        </w:rPr>
        <w:t>名词解释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一、一般公共预算拨款收入：指财政部门当年拨付的资金。</w:t>
      </w:r>
    </w:p>
    <w:p>
      <w:pPr>
        <w:adjustRightInd/>
        <w:snapToGrid/>
        <w:spacing w:before="225" w:after="225" w:line="480" w:lineRule="atLeast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二、其他收入：指上述“一般公共预算拨款收入”以外的收入。主要是按规定动用的售房收入、存款利息收入等。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B0CBFD"/>
    <w:multiLevelType w:val="singleLevel"/>
    <w:tmpl w:val="BCB0CBFD"/>
    <w:lvl w:ilvl="0" w:tentative="0">
      <w:start w:val="3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37DA3"/>
    <w:rsid w:val="00037FB6"/>
    <w:rsid w:val="001470CB"/>
    <w:rsid w:val="002D7762"/>
    <w:rsid w:val="00323B43"/>
    <w:rsid w:val="003D37D8"/>
    <w:rsid w:val="003E4F07"/>
    <w:rsid w:val="00426133"/>
    <w:rsid w:val="004358AB"/>
    <w:rsid w:val="0046248B"/>
    <w:rsid w:val="004D4D49"/>
    <w:rsid w:val="00586B12"/>
    <w:rsid w:val="007E103B"/>
    <w:rsid w:val="00884E00"/>
    <w:rsid w:val="008B7726"/>
    <w:rsid w:val="0096197F"/>
    <w:rsid w:val="009E296F"/>
    <w:rsid w:val="00A0405C"/>
    <w:rsid w:val="00B03368"/>
    <w:rsid w:val="00B54958"/>
    <w:rsid w:val="00C5054F"/>
    <w:rsid w:val="00D31D50"/>
    <w:rsid w:val="00DA7E46"/>
    <w:rsid w:val="00E06454"/>
    <w:rsid w:val="00F37952"/>
    <w:rsid w:val="00FA4E5D"/>
    <w:rsid w:val="06962300"/>
    <w:rsid w:val="0DBF36CC"/>
    <w:rsid w:val="0E902BB0"/>
    <w:rsid w:val="0FC51B3A"/>
    <w:rsid w:val="15135C65"/>
    <w:rsid w:val="1597453F"/>
    <w:rsid w:val="161B1388"/>
    <w:rsid w:val="16EB3184"/>
    <w:rsid w:val="1A9439D6"/>
    <w:rsid w:val="1BCB6961"/>
    <w:rsid w:val="1C375934"/>
    <w:rsid w:val="1C71604F"/>
    <w:rsid w:val="21E55661"/>
    <w:rsid w:val="221B24B9"/>
    <w:rsid w:val="24E71D6F"/>
    <w:rsid w:val="2AED5F7A"/>
    <w:rsid w:val="2B236B00"/>
    <w:rsid w:val="37CC200D"/>
    <w:rsid w:val="3B811DED"/>
    <w:rsid w:val="3EA65C30"/>
    <w:rsid w:val="3ED12C83"/>
    <w:rsid w:val="3FA72B95"/>
    <w:rsid w:val="42CE5CCD"/>
    <w:rsid w:val="476A343C"/>
    <w:rsid w:val="4C8C5991"/>
    <w:rsid w:val="4CEE00EC"/>
    <w:rsid w:val="582E585F"/>
    <w:rsid w:val="585A56B1"/>
    <w:rsid w:val="589759A5"/>
    <w:rsid w:val="617D4035"/>
    <w:rsid w:val="6B3401A4"/>
    <w:rsid w:val="72FF0BE3"/>
    <w:rsid w:val="7A5D1DDF"/>
    <w:rsid w:val="7FF1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463</Words>
  <Characters>2642</Characters>
  <Lines>22</Lines>
  <Paragraphs>6</Paragraphs>
  <TotalTime>1</TotalTime>
  <ScaleCrop>false</ScaleCrop>
  <LinksUpToDate>false</LinksUpToDate>
  <CharactersWithSpaces>3099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2018-04-20T08:42:00Z</cp:lastPrinted>
  <dcterms:modified xsi:type="dcterms:W3CDTF">2019-04-08T02:12:38Z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