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仿宋简体"/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朗县（文</w:t>
      </w:r>
      <w:r>
        <w:rPr>
          <w:rFonts w:hint="eastAsia" w:ascii="黑体" w:eastAsia="黑体"/>
          <w:b/>
          <w:sz w:val="48"/>
          <w:szCs w:val="48"/>
          <w:lang w:eastAsia="zh-CN"/>
        </w:rPr>
        <w:t>化</w:t>
      </w:r>
      <w:r>
        <w:rPr>
          <w:rFonts w:hint="eastAsia" w:ascii="黑体" w:eastAsia="黑体"/>
          <w:b/>
          <w:sz w:val="48"/>
          <w:szCs w:val="48"/>
        </w:rPr>
        <w:t>局</w:t>
      </w:r>
      <w:r>
        <w:rPr>
          <w:rFonts w:ascii="黑体" w:eastAsia="黑体"/>
          <w:b/>
          <w:sz w:val="48"/>
          <w:szCs w:val="48"/>
        </w:rPr>
        <w:t>）</w:t>
      </w:r>
      <w:r>
        <w:rPr>
          <w:rFonts w:hint="eastAsia" w:ascii="黑体" w:eastAsia="黑体"/>
          <w:b/>
          <w:sz w:val="48"/>
          <w:szCs w:val="48"/>
        </w:rPr>
        <w:t xml:space="preserve"> </w:t>
      </w:r>
      <w:r>
        <w:rPr>
          <w:rFonts w:hint="eastAsia" w:ascii="黑体" w:eastAsia="黑体"/>
          <w:b/>
          <w:sz w:val="48"/>
          <w:szCs w:val="48"/>
          <w:lang w:eastAsia="zh-CN"/>
        </w:rPr>
        <w:t>2019</w:t>
      </w:r>
      <w:r>
        <w:rPr>
          <w:rFonts w:hint="eastAsia" w:ascii="黑体" w:eastAsia="黑体"/>
          <w:b/>
          <w:sz w:val="48"/>
          <w:szCs w:val="48"/>
        </w:rPr>
        <w:t xml:space="preserve"> 年度部门预算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201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9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single"/>
        </w:rPr>
        <w:t xml:space="preserve">日 </w:t>
      </w:r>
    </w:p>
    <w:p>
      <w:pPr>
        <w:spacing w:line="460" w:lineRule="exact"/>
        <w:rPr>
          <w:rFonts w:ascii="宋体" w:hAnsi="宋体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480" w:lineRule="atLeas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484848"/>
          <w:sz w:val="24"/>
          <w:szCs w:val="24"/>
        </w:rPr>
      </w:pPr>
      <w:r>
        <w:rPr>
          <w:rFonts w:hint="eastAsia" w:ascii="黑体" w:hAnsi="黑体" w:eastAsia="黑体" w:cs="宋体"/>
          <w:color w:val="484848"/>
          <w:sz w:val="27"/>
          <w:szCs w:val="27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第一部分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朗县文化局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（部门）概况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二、部门职责和机构设置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第二部分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朗县文化局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（部门）201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年度部门预算明细表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六、部门收支总表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第三部分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朗县文化局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（部门）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年度部门预算数据分析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朗县文化局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（部门）概况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ascii="黑体" w:hAnsi="宋体" w:eastAsia="黑体"/>
          <w:b w:val="0"/>
          <w:bCs/>
          <w:sz w:val="24"/>
          <w:szCs w:val="24"/>
        </w:rPr>
      </w:pPr>
      <w:r>
        <w:rPr>
          <w:rFonts w:hint="eastAsia" w:ascii="黑体" w:hAnsi="宋体" w:eastAsia="黑体"/>
          <w:b w:val="0"/>
          <w:bCs/>
          <w:sz w:val="24"/>
          <w:szCs w:val="24"/>
          <w:lang w:eastAsia="zh-CN"/>
        </w:rPr>
        <w:t>一</w:t>
      </w:r>
      <w:r>
        <w:rPr>
          <w:rFonts w:hint="eastAsia" w:ascii="黑体" w:hAnsi="宋体" w:eastAsia="黑体"/>
          <w:b w:val="0"/>
          <w:bCs/>
          <w:sz w:val="24"/>
          <w:szCs w:val="24"/>
        </w:rPr>
        <w:t>、朗县（文</w:t>
      </w:r>
      <w:r>
        <w:rPr>
          <w:rFonts w:hint="eastAsia" w:ascii="黑体" w:hAnsi="宋体" w:eastAsia="黑体"/>
          <w:b w:val="0"/>
          <w:bCs/>
          <w:sz w:val="24"/>
          <w:szCs w:val="24"/>
          <w:lang w:eastAsia="zh-CN"/>
        </w:rPr>
        <w:t>化</w:t>
      </w:r>
      <w:r>
        <w:rPr>
          <w:rFonts w:hint="eastAsia" w:ascii="黑体" w:hAnsi="宋体" w:eastAsia="黑体"/>
          <w:b w:val="0"/>
          <w:bCs/>
          <w:sz w:val="24"/>
          <w:szCs w:val="24"/>
        </w:rPr>
        <w:t>局</w:t>
      </w:r>
      <w:r>
        <w:rPr>
          <w:rFonts w:ascii="黑体" w:hAnsi="宋体" w:eastAsia="黑体"/>
          <w:b w:val="0"/>
          <w:bCs/>
          <w:sz w:val="24"/>
          <w:szCs w:val="24"/>
        </w:rPr>
        <w:t>）</w:t>
      </w:r>
      <w:r>
        <w:rPr>
          <w:rFonts w:hint="eastAsia" w:ascii="黑体" w:hAnsi="宋体" w:eastAsia="黑体"/>
          <w:b w:val="0"/>
          <w:bCs/>
          <w:sz w:val="24"/>
          <w:szCs w:val="24"/>
        </w:rPr>
        <w:t>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朗县文化局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（新闻出版广电局、版权局、文物局）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，与朗县新闻出版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广电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版权局、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朗县文物局合署办公，正科级建制，为朗县人民政府工作部门。下设电视台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（调频广播转播台）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文化活动中心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（民间艺术团、新华书店）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、电影队三个事业机构。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、部门职责和机构设置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贯彻执行党和国家、自治区和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市人民政府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关于文化艺术工作、新闻出版、广播电影电视、文物工作的方针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政策和法律法规；拟订全县各项文化事业发展规划和措施并组织实施；推进文化领域的体制机制改革。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管理全县文化艺术、新闻出版、广播电影电视、文物保护各项事业，指导全县开展工作。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推进县文化艺术领域的公共文化服务，规划引导公共文化产品生产，指导、管理重点文化设施建设和基层文化设施建设工作；指导社会文化事业发展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和文化人才队伍建设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；指导、管理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文化信息资源共享工程建设和古籍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遗址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保护工作；组织群众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拟订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县文化产业发展规划，承办对外文化交流项目，推进对外文化产业交流与合作。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拟订朗县文化遗产保护规划并监督实施，组织实施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非物质文化遗产保护和优秀民族民间文化的传承普及工作。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拟订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县文化市场发展规划并监督实施，指导、监督和管理文化市场执法工作，负责对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文化艺术经营活动进行行业监管，负责对从事演艺活动民办机构的监管工作。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监管全县的出版活动，组织查处违规出版物和违法违规出版活动，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负责对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对民办机构从事出版活动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监管；负责对全县新闻出版单位进行行业监管，实施准入和退出管理。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负责印刷、复制业的监管工作；负责著作权管理工作，组织查处著作权侵权案件。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配合有关部门，做好“文化、科技、卫生”三下乡活动相关工作。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组织推进广播电影电视领域的公共服务，组织实施广播电影电视重大工程和重点基础设施建设。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监管广播电影电视节目、信息网络视听节目和公共视听载体播放的视听节目，审查其内容和质量；监管卫星电视接收设施及境外卫星电视节目的落地与接收。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指导全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县广播电影电视和信息网络视听节目服务的科技工作；负责监管广播电影电视节目传输、监测和安全播出；负责广播电视频率(频道)和功率的报批工作；规划和管理广播电视网络。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组织文物资源调查，指导和协调朗县文物保护工作，会同相关部门加强寺庙文物保护工作；制定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文物单位的安全设施建设规划并指导实施，改善文物安全条件；依法履行文物行政执法督察职责，依法组织查处文物违法案件，协同有关部门查处文物犯罪的重大案件。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承担文物保护、考古项目的组织实施工作，承担国家级、自治区级文物保护单位申报工作，做好县级文物保护单位的保护工作。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指导全县文物业务工作。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承办县政府交办的其他事项。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根据上述职责，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朗县文化局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机关设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个内设机构，具体如下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负责文电、公务、机要等机关日常运行转工作；按照自治区档案行政主管部门的要求，指导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文化局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档案工作；起草综合性文稿；参与研究建设领域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文化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政策；负责机关各项资金和国有资产的管理和使用；负责行业统计工作；负责信息化建设工作；承担信息、安全、保密、宣传、政务公开、区域合作和信访等工作；负责文件资料档案管理工作；负责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系统社会治安综合治理工作。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文物文化办公室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收集、整理、挖掘、保护、管理民族民间文化艺术遗产等，做好文化遗产的保护工作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文化活动中心（新华书店、朗县塔布文化艺术团）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贯彻执行党的文艺工作方针政策，负责组织、指导群众文化活动，协调、策划、实施社区文化、广场文化、企业文化、校园文化、军营文化等群众文化活动，以及有关部门交办的大型群众文化活动；负责管理好文化信息资源共享工程、图书馆、新华书店，为广大群众提供优质网络、图书文化服务；辅导各类业余文艺团体，做好乡村文化室指导、辅导、培训各类业余文艺骨干；负责本县文化活动管的管理、使用，不断创新工作方式，扩大服务面、提升服务水平，提高好书报阅读、教育培训、娱乐健身、影视放映、展览展示、网络信息等各类健康有益的工艺文化活动，充分发挥基层文化阵地的积极引导作用；按要求，积极落实好农村电影放映工程；拟订地方性文化艺术的实施意见办法并组织实施；立足弘扬主旋律，传承优秀民族文虎；围绕县委、政府中心工作，完成大型节庆演出、接待、三下乡等各类文艺演出任务；坚持“二为”方针和“三贴近”的原则，组织开展文艺演出活动，编排具有民族、地域特色的文艺作品；负责辅导县、乡、村业余文艺团队和培养文艺骨干；完成上级部门交办的各项专业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第二部分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朗县（文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化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局）（部门）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2019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(详见附表)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第三部分 朗县（文化局）（部门）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2019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年度部门预算数据分析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一、201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年度财政拨款收支预算情况总体说明。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朗县文化局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年财政拨款收支总预算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366.5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万元，收入全部为一般公共预算，无政府性基金预算拨款，其中：当年财政拨款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366.5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万元；上年结转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87.84万元,全部为项目支出。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支出包括：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文化旅游体育与传媒（类）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支出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280.1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  <w:t>社会保障和就业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（类）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  <w:t xml:space="preserve">支出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val="en-US" w:eastAsia="zh-CN"/>
        </w:rPr>
        <w:t>42.04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万元，卫生健康（类）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  <w:t xml:space="preserve">支出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val="en-US" w:eastAsia="zh-CN"/>
        </w:rPr>
        <w:t>21.63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万元，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  <w:t>住房保障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（类）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  <w:t xml:space="preserve">支出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val="en-US" w:eastAsia="zh-CN"/>
        </w:rPr>
        <w:t>22.69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朗县文化局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年财政拨款预算用于以下方面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文化旅游体育与传媒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（类）支出占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76.44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社会保障和就业支出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（类）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11.47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，卫生健康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（类）支出占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5.9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%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住房保障支出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（类）支出占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6.19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454.34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（含上年结转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87.84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年预算收支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457.1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（含上年结转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7.74万元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484848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2.76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降低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%。主要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文化旅游体育与传媒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年度一般公共预算当年财政拨款情况说明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朗县文化局2019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年财政拨款支出年初预算数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366.5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万元，比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449.36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，减少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82.86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降低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18.44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%，其中：基本支出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328.88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万元，比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300.82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，增加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28.06万元，增长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9.32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%；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项目支出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37.62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万元，比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年148.54万元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，减少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110.92万元，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降低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74.67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（一）文化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旅游体育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与传媒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（类）2019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年预算数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280.14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374.32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减少了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94.18万元，降低25.16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部分为艺术表演团体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1、文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化和旅游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269.9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357.79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减少了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87.89万元，降低了24.56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（1）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行政运行（项）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242.52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年预算数225.78万元，增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16.74万元，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增长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7.41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（2）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艺术表演团体（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万元，减少40万元，降低86.96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（3）群众文化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预算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数，比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2018年增长了100%。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（4）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其他文化支出（项）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11.38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86.01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万元，减少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74.63万元，降低86.77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2、文物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年预算数12.53万元，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2.53万元，降低20.19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(1)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文物保护（项）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7.53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2.47万元，增加32.80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(2) 其他文物支出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19年无预算数，2018年预算数为5万元，比2108年降低了100%。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3、广播电视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电视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0.24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3.76万元，降低94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（二）社会保障和就业支出（类）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42.04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37.97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,减少4.07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降低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10.72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，其原因是人员减少。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196" w:right="0" w:rightChars="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行政事业单位离退休（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）机关事业单位基本养老保险缴费支出（项）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39.33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年预算数35.57万元，增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3.76万元，增长10.57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主要原因是：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人员增加。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196"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、财政对其他社会保险基金的补助（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2.71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年2.4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0.31万元，增加12.92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（1）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财政对失业保险基金的补助（项）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0.67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0.59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0.08万元，增加13.56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（2）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财政对工伤保险基金的补助（项）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0.66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0.57万元，增长0.09万元，增加15.79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（3）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财政对生育保险基金的补助（项）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1.38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1.24万元，增长0.14万元，增加11.29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（三）卫生健康（类）2019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21.63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年16.01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5.62万元，增加35.10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行政事业单位医疗（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）公务员医疗补助（项）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年预算数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5.90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比2018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1.78万元，增长4.12万元，增加231.46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财政对基本医疗保险基金的补助（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 财政对职工基本医疗保险基金的补助（项）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15.73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比2018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14.23万元，增长1.5万元，增加10.54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)住房保障支出（类）住房改革支出（款）住房公积金管理（项）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22.69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万元，比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年预算数21.06万元，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1.63万元，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增长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7.74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局2019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年一般公共预算基本支出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328.88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万元。其中：人员经费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294.99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万元，主要包括：基本工资、津贴补贴、奖金、机关事业单位基本养老保险缴费、职工基本医疗保险、公务员医疗补助、其他社会保障缴费、住房公积金、其他工资福利。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公用经费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21.38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万元，主要包括：办公费、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印刷费、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水费、电费、邮电费、取暖费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差旅费、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维修（护）费、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会议费、培训费、公务接待费、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公会经费、福利费、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公务用车运行维护费、其他商品和服务支出。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四、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2019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年度一般公共预算“三公”经费预算情况说明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年“三公”经费预算数万元。其中：因公出国（境）费0万元，公务用车购置及运行费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5.86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万元，均为公务用车运行费，无公务用车购置费,我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车辆编制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台；公务接待费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1.43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年预算数比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0.43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7.92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%。其中：公务用车购置及运行费比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年预算数增加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0.62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万元,增长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11.83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主要原因是由于我单位人员增多。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年“三公”经费预算数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6.52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万元，执行数为5.43万元。其中：公务用运行费执行数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万元，公务接待费执行数0.27 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（接待批次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，人数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，因公出国（境）费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年年初无预算。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，我单位较好的贯彻落实中央八项规定、自治区约法十章等方针政策，按照厉行节约原则，进一步严格执行公务接待审批程序，控制接待人数和批次，严格落实公务车辆各项管理制度，进一步规范车辆使用及维修各环节工作，切实缩减“三公”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年度政府性基金预算支出情况说明</w:t>
      </w:r>
    </w:p>
    <w:tbl>
      <w:tblPr>
        <w:tblStyle w:val="6"/>
        <w:tblW w:w="1641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2745"/>
        <w:gridCol w:w="2745"/>
        <w:gridCol w:w="3120"/>
        <w:gridCol w:w="3120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4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政府性基金预算支出表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1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填报单位：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朗县文化局</w:t>
            </w:r>
          </w:p>
        </w:tc>
        <w:tc>
          <w:tcPr>
            <w:tcW w:w="5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科目编码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科目名称　</w:t>
            </w:r>
          </w:p>
        </w:tc>
        <w:tc>
          <w:tcPr>
            <w:tcW w:w="2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单位代码　</w:t>
            </w:r>
          </w:p>
        </w:tc>
        <w:tc>
          <w:tcPr>
            <w:tcW w:w="81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本年政府性基金预算财政拨款支出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480" w:lineRule="atLeast"/>
              <w:ind w:left="0" w:leftChars="0" w:right="0" w:rightChars="0" w:firstLine="48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atLeast"/>
              <w:ind w:left="0" w:leftChars="0" w:right="0" w:rightChars="0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朗县文化局2019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年度无政府性基金安排的支出。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年度收支预算情况总体说明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年预算总收入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454.34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（含上年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转入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87.84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，收入主要为当年财政拨款，无政府性基金预算拨款。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七、关于部门收入总表的说明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年预算总收入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454.34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（含上年转入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87.84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收入主要为当年财政拨款，无政府性基金预算拨款。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八、关于部门支出总表的说明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朗县文化局2019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年支出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454.34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（含上年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转入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87.84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为一般共公预算财政拨款支出。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宋体"/>
          <w:color w:val="auto"/>
          <w:sz w:val="24"/>
          <w:szCs w:val="24"/>
          <w:highlight w:val="none"/>
        </w:rPr>
        <w:t>（一）机关运行经费安排使用情况说明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朗县文化局2019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年机关运行经费财政拨款预算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21.38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机关运行经费财政拨款预算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19.28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2018年增加2.1万元，增长10.89%。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（二）政府采购情况说明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朗县文化局2019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年预算未安排政府采购业务。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宋体"/>
          <w:color w:val="auto"/>
          <w:sz w:val="24"/>
          <w:szCs w:val="24"/>
        </w:rPr>
        <w:t>（三）国有资产占有使用情况说明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截止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年12月31日，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朗县文化局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共有车辆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用于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文物执法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艺术团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新华书店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电影站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新华书店。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年部门预算未安排车辆购置。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宋体"/>
          <w:color w:val="auto"/>
          <w:sz w:val="24"/>
          <w:szCs w:val="24"/>
        </w:rPr>
        <w:t>（四）预算绩效情况说明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朗县文化局2019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年机关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正在推进预算绩效目标管理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黑体" w:hAnsi="黑体" w:eastAsia="黑体" w:cs="宋体"/>
          <w:color w:val="auto"/>
          <w:sz w:val="24"/>
          <w:szCs w:val="24"/>
        </w:rPr>
        <w:t>第四部分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一、一般公共预算拨款收入：指财政部门当年拨付的资金。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left="0" w:leftChars="0" w:right="0" w:rightChars="0" w:firstLine="48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二、其他收入：指上述“一般公共预算拨款收入”以外的收入。主要是按规定动用的售房收入、存款利息收入等。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3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C777"/>
    <w:multiLevelType w:val="singleLevel"/>
    <w:tmpl w:val="5AD6C77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D78B6"/>
    <w:rsid w:val="001050D2"/>
    <w:rsid w:val="011607B8"/>
    <w:rsid w:val="01395B9D"/>
    <w:rsid w:val="021A5CC2"/>
    <w:rsid w:val="02243A2C"/>
    <w:rsid w:val="037720EF"/>
    <w:rsid w:val="03FD64C6"/>
    <w:rsid w:val="05DA0597"/>
    <w:rsid w:val="092A45F1"/>
    <w:rsid w:val="09F82FD6"/>
    <w:rsid w:val="0AEF1721"/>
    <w:rsid w:val="0AFA37A6"/>
    <w:rsid w:val="0C371352"/>
    <w:rsid w:val="0C4A0DB7"/>
    <w:rsid w:val="0C744865"/>
    <w:rsid w:val="0D4E2C13"/>
    <w:rsid w:val="0D9801E4"/>
    <w:rsid w:val="0D995E93"/>
    <w:rsid w:val="0E350927"/>
    <w:rsid w:val="0EC25551"/>
    <w:rsid w:val="0EDA7289"/>
    <w:rsid w:val="0F117BBA"/>
    <w:rsid w:val="0F996B22"/>
    <w:rsid w:val="0FAA68F1"/>
    <w:rsid w:val="0FFF77FD"/>
    <w:rsid w:val="10AC5F18"/>
    <w:rsid w:val="10DB6D7D"/>
    <w:rsid w:val="1183415F"/>
    <w:rsid w:val="12024E51"/>
    <w:rsid w:val="140743ED"/>
    <w:rsid w:val="144713D0"/>
    <w:rsid w:val="14B51979"/>
    <w:rsid w:val="15105113"/>
    <w:rsid w:val="17482403"/>
    <w:rsid w:val="196B2A4F"/>
    <w:rsid w:val="199D5EE5"/>
    <w:rsid w:val="1A253FE7"/>
    <w:rsid w:val="1A7705D2"/>
    <w:rsid w:val="1AFC10B7"/>
    <w:rsid w:val="1B2C585A"/>
    <w:rsid w:val="1B9F5D18"/>
    <w:rsid w:val="1C810FC1"/>
    <w:rsid w:val="1EF32220"/>
    <w:rsid w:val="1F6C314D"/>
    <w:rsid w:val="1FBC062F"/>
    <w:rsid w:val="1FE71081"/>
    <w:rsid w:val="2141628F"/>
    <w:rsid w:val="22645835"/>
    <w:rsid w:val="25D31F02"/>
    <w:rsid w:val="265C3E66"/>
    <w:rsid w:val="27D41B29"/>
    <w:rsid w:val="28FD5007"/>
    <w:rsid w:val="2AB11F7B"/>
    <w:rsid w:val="2AC52D49"/>
    <w:rsid w:val="2B217D9B"/>
    <w:rsid w:val="2C7B4A02"/>
    <w:rsid w:val="2CE8348A"/>
    <w:rsid w:val="2D0B7239"/>
    <w:rsid w:val="2D3A2FAD"/>
    <w:rsid w:val="2E3276FF"/>
    <w:rsid w:val="2E433B0F"/>
    <w:rsid w:val="2E543AC7"/>
    <w:rsid w:val="2F0230A3"/>
    <w:rsid w:val="2F4A78CA"/>
    <w:rsid w:val="30973872"/>
    <w:rsid w:val="320A3A30"/>
    <w:rsid w:val="33E74C01"/>
    <w:rsid w:val="34990662"/>
    <w:rsid w:val="34D13F83"/>
    <w:rsid w:val="368F30E1"/>
    <w:rsid w:val="371D78B6"/>
    <w:rsid w:val="3A7C38C1"/>
    <w:rsid w:val="3CB47DF3"/>
    <w:rsid w:val="3E2543CE"/>
    <w:rsid w:val="3E5300D8"/>
    <w:rsid w:val="3EE15747"/>
    <w:rsid w:val="3F232708"/>
    <w:rsid w:val="404137D9"/>
    <w:rsid w:val="4054589F"/>
    <w:rsid w:val="40E811FC"/>
    <w:rsid w:val="40EC0E3D"/>
    <w:rsid w:val="416C112F"/>
    <w:rsid w:val="41BA40CA"/>
    <w:rsid w:val="42DB5700"/>
    <w:rsid w:val="44743956"/>
    <w:rsid w:val="45353199"/>
    <w:rsid w:val="45EE3FC2"/>
    <w:rsid w:val="473B5066"/>
    <w:rsid w:val="476732A1"/>
    <w:rsid w:val="47AD1400"/>
    <w:rsid w:val="485F49CF"/>
    <w:rsid w:val="4A09619B"/>
    <w:rsid w:val="4A1A35E5"/>
    <w:rsid w:val="4A4F1617"/>
    <w:rsid w:val="4A7B0E0D"/>
    <w:rsid w:val="4A9D63F8"/>
    <w:rsid w:val="4AA44CD4"/>
    <w:rsid w:val="4BA86E55"/>
    <w:rsid w:val="4CD86CD7"/>
    <w:rsid w:val="4F045187"/>
    <w:rsid w:val="504B759B"/>
    <w:rsid w:val="50D065A0"/>
    <w:rsid w:val="511D632E"/>
    <w:rsid w:val="514025F3"/>
    <w:rsid w:val="51FC2426"/>
    <w:rsid w:val="522436AD"/>
    <w:rsid w:val="52CD5ADE"/>
    <w:rsid w:val="57533630"/>
    <w:rsid w:val="587337F6"/>
    <w:rsid w:val="59DD79E0"/>
    <w:rsid w:val="5A35580D"/>
    <w:rsid w:val="5AF830EF"/>
    <w:rsid w:val="5BAE2C7B"/>
    <w:rsid w:val="5BE67C1D"/>
    <w:rsid w:val="5C533369"/>
    <w:rsid w:val="5C890AB8"/>
    <w:rsid w:val="5D0C3A3B"/>
    <w:rsid w:val="5D340AAD"/>
    <w:rsid w:val="5D900D35"/>
    <w:rsid w:val="5DE12E5C"/>
    <w:rsid w:val="5E9E54C3"/>
    <w:rsid w:val="5FF427B0"/>
    <w:rsid w:val="60A37116"/>
    <w:rsid w:val="610B7F64"/>
    <w:rsid w:val="61660727"/>
    <w:rsid w:val="61674289"/>
    <w:rsid w:val="618309B1"/>
    <w:rsid w:val="624058B0"/>
    <w:rsid w:val="63345BA6"/>
    <w:rsid w:val="63DF2749"/>
    <w:rsid w:val="646C650A"/>
    <w:rsid w:val="64850945"/>
    <w:rsid w:val="66CD3FC2"/>
    <w:rsid w:val="67C65B78"/>
    <w:rsid w:val="67FE30AD"/>
    <w:rsid w:val="68642AA1"/>
    <w:rsid w:val="69045FB5"/>
    <w:rsid w:val="696C48E3"/>
    <w:rsid w:val="6B9F4BB5"/>
    <w:rsid w:val="6CA50BF8"/>
    <w:rsid w:val="6CE67992"/>
    <w:rsid w:val="6DB764E7"/>
    <w:rsid w:val="6F120347"/>
    <w:rsid w:val="71AF1A26"/>
    <w:rsid w:val="73CC0690"/>
    <w:rsid w:val="76745C22"/>
    <w:rsid w:val="777D3D7F"/>
    <w:rsid w:val="77A9103E"/>
    <w:rsid w:val="78094166"/>
    <w:rsid w:val="78500F57"/>
    <w:rsid w:val="7A1A5F6A"/>
    <w:rsid w:val="7A8F26BB"/>
    <w:rsid w:val="7AD76777"/>
    <w:rsid w:val="7C265EBD"/>
    <w:rsid w:val="7FD62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2018-04-16T01:41:00Z</dcterms:created>
  <dc:creator>Administrator</dc:creator>
  <cp:lastModifiedBy>Administrator</cp:lastModifiedBy>
  <dcterms:modified xsi:type="dcterms:W3CDTF">2019-04-08T08:23:46Z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