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朗</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县</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孜</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列</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寺</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管</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委</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会</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2019</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年</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预</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算</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报</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60"/>
          <w:szCs w:val="60"/>
        </w:rPr>
      </w:pPr>
      <w:r>
        <w:rPr>
          <w:rFonts w:hint="eastAsia" w:ascii="黑体" w:hAnsi="黑体" w:eastAsia="黑体" w:cs="黑体"/>
          <w:color w:val="000000" w:themeColor="text1"/>
          <w:sz w:val="60"/>
          <w:szCs w:val="60"/>
        </w:rPr>
        <w:t>告</w:t>
      </w: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目 录</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第一部分 孜列寺管委会概况</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一、部门预算单位构成</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二、部门职责和机构设置</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第二部分 西藏朗县孜列寺管委会（部门）2019年度部门预算明细表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一、财政拨款收支总表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二、一般公共预算支出表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三、一般公共预算基本支出表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四、一般公共预算“三公”经费支出表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五、政府性基金预算支出表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六、部门收支总表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七、部门收入总表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八、部门支出总表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第三部分 西藏朗孜列寺管委会（部门）2019年度部门预算数据分析</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第四部分 名词解释</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第一部分 西藏朗县孜列寺管委会（部门）概况</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一、部门预算单位构成和机构设置</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纳入西藏朗县孜列寺管委会2019年部门预算编制范围的单位朗县孜列寺管委会机关。</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二、部门职责</w:t>
      </w:r>
    </w:p>
    <w:p>
      <w:pPr>
        <w:keepNext w:val="0"/>
        <w:keepLines w:val="0"/>
        <w:pageBreakBefore w:val="0"/>
        <w:widowControl/>
        <w:kinsoku/>
        <w:wordWrap/>
        <w:overflowPunct/>
        <w:topLinePunct w:val="0"/>
        <w:autoSpaceDE/>
        <w:autoSpaceDN/>
        <w:bidi w:val="0"/>
        <w:spacing w:beforeAutospacing="0" w:afterAutospacing="0" w:line="500" w:lineRule="exact"/>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1、贯彻执行党的宗教工作基本方针和国家管理宗教事务法律法规,依法履行管理服务教育职能,促进寺庙和谐稳定。</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2.制定并组织实施寺庙的管理制度,维护寺庙佛事活动正常秩序</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3.组织寺庙僧人学习党的民族、宗教政策及国家有关法律、法规、规章,加强宗教和谐与民族团结宣传教育,维护祖国统一、反对分裂,理直气壮地揭批十四世达赖祸藏乱教的罪行。</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4.组织实施僧人的培养工作,壮大宗教界爱国力量,积极开展和谐模范寺庙暨爱国守法先进僧尼创建评选活动,引导藏传佛教与社会主义社会相适应。</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w:t>
      </w:r>
      <w:r>
        <w:rPr>
          <w:rFonts w:hint="eastAsia" w:ascii="仿宋" w:hAnsi="仿宋" w:eastAsia="仿宋" w:cs="宋体"/>
          <w:color w:val="000000" w:themeColor="text1"/>
          <w:sz w:val="32"/>
          <w:szCs w:val="32"/>
          <w:lang w:val="en-US" w:eastAsia="zh-CN"/>
        </w:rPr>
        <w:t xml:space="preserve"> </w:t>
      </w:r>
      <w:r>
        <w:rPr>
          <w:rFonts w:hint="eastAsia" w:ascii="仿宋" w:hAnsi="仿宋" w:eastAsia="仿宋" w:cs="宋体"/>
          <w:color w:val="000000" w:themeColor="text1"/>
          <w:sz w:val="32"/>
          <w:szCs w:val="32"/>
        </w:rPr>
        <w:t>5.依法保护管理寺庙文物和资产，协助组织开展寺庙自营产业和社会公益慈善事业。</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6.维护寺庙治安秩序、消防安全和环境卫生，做好寺庙和僧人的基本公共服务,协调解决寺庙僧人的困难和问题,协调落实僧人医保、低保、养老、人身意外伤害保险等工作。</w:t>
      </w:r>
    </w:p>
    <w:p>
      <w:pPr>
        <w:keepNext w:val="0"/>
        <w:keepLines w:val="0"/>
        <w:pageBreakBefore w:val="0"/>
        <w:widowControl/>
        <w:kinsoku/>
        <w:wordWrap/>
        <w:overflowPunct/>
        <w:topLinePunct w:val="0"/>
        <w:autoSpaceDE/>
        <w:autoSpaceDN/>
        <w:bidi w:val="0"/>
        <w:spacing w:beforeAutospacing="0" w:afterAutospacing="0" w:line="500" w:lineRule="exact"/>
        <w:ind w:firstLine="640"/>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7.协调寺庙与社会其他的关系,维护寺庙和僧人的合法权益，承办党委、政府及统战民宗等部门交办的其他事项。</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8.寺管会财务资产产管理制度</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9.严格按照《会计法》、《宗教活动场所财务监督管理办理(试行)等相关法律法规,加强对寺庙财务的监督管理和寺庙管理委会财务的自身管理,建章立制,明确收支两条线。</w:t>
      </w:r>
      <w:r>
        <w:rPr>
          <w:rFonts w:hint="eastAsia" w:ascii="仿宋" w:hAnsi="仿宋" w:eastAsia="仿宋" w:cs="宋体"/>
          <w:color w:val="000000" w:themeColor="text1"/>
          <w:sz w:val="32"/>
          <w:szCs w:val="32"/>
        </w:rPr>
        <w:br w:type="textWrapping"/>
      </w:r>
      <w:r>
        <w:rPr>
          <w:rFonts w:hint="eastAsia" w:ascii="仿宋" w:hAnsi="仿宋" w:eastAsia="仿宋" w:cs="宋体"/>
          <w:color w:val="000000" w:themeColor="text1"/>
          <w:sz w:val="32"/>
          <w:szCs w:val="32"/>
        </w:rPr>
        <w:t xml:space="preserve">    10.尊重寺庙资金的传统用途,做到财务收支底数清、情况明，寺庙管委会自身运行的各种费用不得在寺庙收入中支出。</w:t>
      </w:r>
    </w:p>
    <w:p>
      <w:pPr>
        <w:keepNext w:val="0"/>
        <w:keepLines w:val="0"/>
        <w:pageBreakBefore w:val="0"/>
        <w:widowControl/>
        <w:kinsoku/>
        <w:wordWrap/>
        <w:overflowPunct/>
        <w:topLinePunct w:val="0"/>
        <w:autoSpaceDE/>
        <w:autoSpaceDN/>
        <w:bidi w:val="0"/>
        <w:spacing w:beforeAutospacing="0" w:afterAutospacing="0" w:line="500" w:lineRule="exact"/>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11.寺庙管理委员会每半年要将寺庙财务收支情况向广大僧尼和信教群众进行公示,寺庙管理委员会干部不得参与寺庙的任何具体经营活动,并自觉接受相关部门的监督检查。</w:t>
      </w:r>
      <w:r>
        <w:rPr>
          <w:rFonts w:hint="eastAsia" w:ascii="仿宋" w:hAnsi="仿宋" w:eastAsia="仿宋" w:cs="宋体"/>
          <w:color w:val="000000" w:themeColor="text1"/>
          <w:sz w:val="32"/>
          <w:szCs w:val="32"/>
        </w:rPr>
        <w:br w:type="textWrapping"/>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jc w:val="both"/>
        <w:textAlignment w:val="auto"/>
        <w:outlineLvl w:val="9"/>
        <w:rPr>
          <w:rFonts w:ascii="仿宋" w:hAnsi="仿宋" w:eastAsia="仿宋" w:cs="宋体"/>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第二部分 西藏朗县孜列寺管委会（部门）2019年度预算明细表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(详见附表)</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第三部分 西藏朗县孜列寺管委会（部门）2019年度部门预算数据分析</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一、2019年度财政拨款收支预算情况总体说明。</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ind w:firstLine="645"/>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孜列寺管委会2019年财政拨款收支总预算148.56万元，收入全部为一般公共预算，无政府性基金预算拨款，其中：当年财政拨款148.56万元,无上年结转。支出包括：一般公共服务支出113.48万元、社会保障和就业支出16.79万元、卫生健康支出8.84万元、住房保障支出9.45万元。</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ind w:firstLine="645"/>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西藏朗县孜列寺管委会2019年财政拨款预算用于以下方面：一般公共服务（类）支出占76.39%；卫生健康支出（类）支出占5.95%；社会保障和就业（类）支出占11.3%；住房保障类（支）出占6.36%。</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2019年预算收支148.56万元（上年结转0万元）, 比2018年预算收支150.72万元，减少2.16万元，减少了1.43%。主要减少部分为一般公共服务支出、卫生健康支出、社会保障支出。</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二、2019年度一般公共预算当年财政拨款情况说明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2019年财政拨款支出年初预算数148.56万元，比2018年预算收支150.72万元，减少2.16万元，下降1.43%。其中：基本支出147.56万元，比2018年149.72万元下降2.16万元，减少了1.44%；项目支出1万元，2018年预算数1万，无增减</w:t>
      </w:r>
      <w:r>
        <w:rPr>
          <w:rFonts w:hint="eastAsia" w:ascii="仿宋" w:hAnsi="仿宋" w:eastAsia="仿宋" w:cs="宋体"/>
          <w:color w:val="000000" w:themeColor="text1"/>
          <w:sz w:val="32"/>
          <w:szCs w:val="32"/>
          <w:lang w:eastAsia="zh-CN"/>
        </w:rPr>
        <w:t>。</w:t>
      </w:r>
      <w:r>
        <w:rPr>
          <w:rFonts w:hint="eastAsia" w:ascii="仿宋" w:hAnsi="仿宋" w:eastAsia="仿宋" w:cs="宋体"/>
          <w:color w:val="000000" w:themeColor="text1"/>
          <w:sz w:val="32"/>
          <w:szCs w:val="32"/>
        </w:rPr>
        <w:t>具体情况如下：</w:t>
      </w:r>
    </w:p>
    <w:p>
      <w:pPr>
        <w:keepNext w:val="0"/>
        <w:keepLines w:val="0"/>
        <w:pageBreakBefore w:val="0"/>
        <w:widowControl/>
        <w:numPr>
          <w:ilvl w:val="0"/>
          <w:numId w:val="1"/>
        </w:numPr>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一般公共服务支出（类）2019年预算数为114.96万元，比2018年预算数155.35万元，减少40.39万元，降低26%。</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1.民族事务（款）行政运行（项）2019年预算数为112.48万元，比2018年预算数为20.08万元，增加了92.4万元，增长了4.61%。</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 民族事务（款）一般行政管理事务（项）2019年预算数为1万元，比2018年预算数为0万元，增加了1万元，增长了100%。</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_GB2312" w:hAnsi="仿宋_GB2312" w:eastAsia="仿宋_GB2312" w:cs="仿宋_GB2312"/>
          <w:color w:val="000000" w:themeColor="text1"/>
          <w:sz w:val="32"/>
          <w:szCs w:val="32"/>
        </w:rPr>
        <w:t>（二）</w:t>
      </w:r>
      <w:r>
        <w:rPr>
          <w:rFonts w:hint="eastAsia" w:ascii="仿宋" w:hAnsi="仿宋" w:eastAsia="仿宋" w:cs="宋体"/>
          <w:color w:val="000000" w:themeColor="text1"/>
          <w:sz w:val="32"/>
          <w:szCs w:val="32"/>
        </w:rPr>
        <w:t>社会保障和就业支出（类）2019年预算数16.79万元，比2018年预算数为17.13万元，减少了0.34万元，减少了1.98%。</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1.行政事业单位离退休（款）机关事业单位基本养老保险费支出（项）2019年预算数16.07万元，比2018年预算数为16.4万元，减少了0.33万元，减少了2.01%。</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2.财政对其他社会的补助（款）2019年预算数0.72万元，比2018年预算数为0.73万元，减少了0.01万元，减少了1.37%。。</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（1）财政对工伤保险的补助（项）2019年预算数0.16万元，比2018年预算数为0.16万元，无增减。</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（2）财政对生育保险基金的补助（项）2019年预算数0.56万元，比2018年预算数为0.57万元，减少了0.01万元，减少了1.75%。。</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（三）卫生健康支出（类）2019年预算数8.84万元，比2018年预算数为9.02万元，减少了0.18万元，减少了1.99%。</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1.行政事业单位医疗支出（款）公务员医疗补助（项）2019年预算数2.41万元，比2018年预算数为2.46万元，减少了0.05万元，减少了2.03%。</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64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2.财政对基本医疗保险基金的补助支出（款）财政对职工基本医疗保险基金的补助支出（项）2019年预算数6.43万元，比2018年预算数为6.56万元，减少了0.13万元，减少了1.98%。</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(四)住房保障支出（类）住房改革支出（款）住房公积金（项）2019年预算数9.45万元，比2018年预算数9.61万元，减少0.16万元，下降1.66%。</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三、2019年度一般公共预算基本支出情况说明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2019年一般公共预算基本支出147.56万元。其中：人员经费127.51万元，主要包括：基本工资、津贴补贴、奖金、机关事业单位基本养老保险缴费、职工基本医疗保险、公务员医疗补助、其他社会保障缴费、住房公积金、其他工资福利、其他对个人和家庭的补助支出。</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公用经费20.05万元，主要包括：办公费、水费、电费、邮电费、取暖费、差旅费、会议费、培训费、公务接待费、公务用车运行维护费、维修（护）费、其他商品和服务支出。</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四、2019年度一般公共预算“三公”经费预算情况说明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2019年“三公”经费预算数3.89万元。其中：因公出国（境）费0万元，公务用车购置及运行费3.36万元，均为公务用车运行费，实有车辆2台；公务接待费0.53 万元。</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2019年预算数比2018年预算数无增减。主要原因是公务车辆使用年限较长，维修（护）成本增加，不能正常保障公务下乡用车需求，故增加了公务车辆运行维护费。</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2018年“三公”经费预算数3.89万元，执行数为3.35万元。其中：公务用运行费执行数3.35万元，公务接待费执行数0万元（批次0次、人数0人）。</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2018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五、2019年度政府性基金预算支出情况说明</w:t>
      </w:r>
    </w:p>
    <w:tbl>
      <w:tblPr>
        <w:tblStyle w:val="5"/>
        <w:tblW w:w="16410" w:type="dxa"/>
        <w:tblCellSpacing w:w="0" w:type="dxa"/>
        <w:tblInd w:w="0" w:type="dxa"/>
        <w:tblLayout w:type="fixed"/>
        <w:tblCellMar>
          <w:top w:w="0" w:type="dxa"/>
          <w:left w:w="0" w:type="dxa"/>
          <w:bottom w:w="0" w:type="dxa"/>
          <w:right w:w="0" w:type="dxa"/>
        </w:tblCellMar>
      </w:tblPr>
      <w:tblGrid>
        <w:gridCol w:w="2730"/>
        <w:gridCol w:w="2745"/>
        <w:gridCol w:w="2745"/>
        <w:gridCol w:w="3120"/>
        <w:gridCol w:w="3120"/>
        <w:gridCol w:w="1950"/>
      </w:tblGrid>
      <w:tr>
        <w:tblPrEx>
          <w:tblLayout w:type="fixed"/>
          <w:tblCellMar>
            <w:top w:w="0" w:type="dxa"/>
            <w:left w:w="0" w:type="dxa"/>
            <w:bottom w:w="0" w:type="dxa"/>
            <w:right w:w="0" w:type="dxa"/>
          </w:tblCellMar>
        </w:tblPrEx>
        <w:trPr>
          <w:trHeight w:val="585" w:hRule="atLeast"/>
          <w:tblCellSpacing w:w="0" w:type="dxa"/>
        </w:trPr>
        <w:tc>
          <w:tcPr>
            <w:tcW w:w="16410"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政府性基金预算支出表</w:t>
            </w:r>
          </w:p>
        </w:tc>
      </w:tr>
      <w:tr>
        <w:tblPrEx>
          <w:tblLayout w:type="fixed"/>
          <w:tblCellMar>
            <w:top w:w="0" w:type="dxa"/>
            <w:left w:w="0" w:type="dxa"/>
            <w:bottom w:w="0" w:type="dxa"/>
            <w:right w:w="0" w:type="dxa"/>
          </w:tblCellMar>
        </w:tblPrEx>
        <w:trPr>
          <w:trHeight w:val="345" w:hRule="atLeast"/>
          <w:tblCellSpacing w:w="0" w:type="dxa"/>
        </w:trPr>
        <w:tc>
          <w:tcPr>
            <w:tcW w:w="11340"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填报单位：朗县孜列寺管会</w:t>
            </w:r>
          </w:p>
        </w:tc>
        <w:tc>
          <w:tcPr>
            <w:tcW w:w="5070"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单位：万元</w:t>
            </w:r>
          </w:p>
        </w:tc>
      </w:tr>
      <w:tr>
        <w:tblPrEx>
          <w:tblLayout w:type="fixed"/>
          <w:tblCellMar>
            <w:top w:w="0" w:type="dxa"/>
            <w:left w:w="0" w:type="dxa"/>
            <w:bottom w:w="0" w:type="dxa"/>
            <w:right w:w="0" w:type="dxa"/>
          </w:tblCellMar>
        </w:tblPrEx>
        <w:trPr>
          <w:trHeight w:val="660" w:hRule="atLeast"/>
          <w:tblCellSpacing w:w="0" w:type="dxa"/>
        </w:trPr>
        <w:tc>
          <w:tcPr>
            <w:tcW w:w="2730"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科目编码</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科目名称　</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单位代码　</w:t>
            </w:r>
          </w:p>
        </w:tc>
        <w:tc>
          <w:tcPr>
            <w:tcW w:w="8190" w:type="dxa"/>
            <w:gridSpan w:val="3"/>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本年政府性基金预算财政拨款支出</w:t>
            </w:r>
          </w:p>
        </w:tc>
      </w:tr>
      <w:tr>
        <w:tblPrEx>
          <w:tblLayout w:type="fixed"/>
          <w:tblCellMar>
            <w:top w:w="0" w:type="dxa"/>
            <w:left w:w="0" w:type="dxa"/>
            <w:bottom w:w="0" w:type="dxa"/>
            <w:right w:w="0" w:type="dxa"/>
          </w:tblCellMar>
        </w:tblPrEx>
        <w:trPr>
          <w:trHeight w:val="510" w:hRule="atLeast"/>
          <w:tblCellSpacing w:w="0" w:type="dxa"/>
        </w:trPr>
        <w:tc>
          <w:tcPr>
            <w:tcW w:w="273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textAlignment w:val="auto"/>
              <w:outlineLvl w:val="9"/>
              <w:rPr>
                <w:rFonts w:ascii="仿宋" w:hAnsi="仿宋" w:eastAsia="仿宋" w:cs="宋体"/>
                <w:color w:val="000000" w:themeColor="text1"/>
                <w:sz w:val="32"/>
                <w:szCs w:val="32"/>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textAlignment w:val="auto"/>
              <w:outlineLvl w:val="9"/>
              <w:rPr>
                <w:rFonts w:ascii="仿宋" w:hAnsi="仿宋" w:eastAsia="仿宋" w:cs="宋体"/>
                <w:color w:val="000000" w:themeColor="text1"/>
                <w:sz w:val="32"/>
                <w:szCs w:val="32"/>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textAlignment w:val="auto"/>
              <w:outlineLvl w:val="9"/>
              <w:rPr>
                <w:rFonts w:ascii="仿宋" w:hAnsi="仿宋" w:eastAsia="仿宋" w:cs="宋体"/>
                <w:color w:val="000000" w:themeColor="text1"/>
                <w:sz w:val="32"/>
                <w:szCs w:val="32"/>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合计</w:t>
            </w: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基本支出</w:t>
            </w: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项目支出</w:t>
            </w: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p>
        </w:tc>
      </w:tr>
    </w:tbl>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西藏朗县仲达镇甘丹热登寺管委会2019年度无政府性基金安排的支出。</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六、2019年度收支预算情况总体说明</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2019年预算总收入148.56万元，收入主要为当年财政拨款，无政府性基金预算拨款。</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七、关于部门收入总表的说明</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ind w:firstLine="645"/>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2019年预算总收入148.56万元，收入主要为当年财政拨款，无政府性基金预算拨款。</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八、关于部门支出总表的说明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西藏朗县孜列寺管委会2019年支出预算148.56万元，均为一般共公预算财政拨款支出。</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九、其他重要事项的情况说明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（一）机关运行经费安排使用情况说明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西藏朗县孜列寺管委会2019年机关运行经费财政拨款预算20.05万元，比2018年预算数20.08减少0.03万元,下降0.15%。</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（二）政府采购情况说明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西藏朗县孜列寺管委会2019年预算未安排政府采购业务。</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（三）国有资产占有使用情况说明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截止2018年12月份31日，西藏朗县孜列寺管委会共有车辆2辆均为一般公务用车车辆。2019年部门预算未安排车辆购置。</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（四）预算绩效情况说明</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2019年西藏朗县孜列寺管委会绩效目标管理工作</w:t>
      </w:r>
      <w:r>
        <w:rPr>
          <w:rFonts w:hint="eastAsia" w:ascii="仿宋" w:hAnsi="仿宋" w:eastAsia="仿宋" w:cs="宋体"/>
          <w:color w:val="000000" w:themeColor="text1"/>
          <w:sz w:val="32"/>
          <w:szCs w:val="32"/>
          <w:lang w:eastAsia="zh-CN"/>
        </w:rPr>
        <w:t>正在推行</w:t>
      </w:r>
      <w:r>
        <w:rPr>
          <w:rFonts w:hint="eastAsia" w:ascii="仿宋" w:hAnsi="仿宋" w:eastAsia="仿宋" w:cs="宋体"/>
          <w:color w:val="000000" w:themeColor="text1"/>
          <w:sz w:val="32"/>
          <w:szCs w:val="32"/>
        </w:rPr>
        <w:t>。</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jc w:val="center"/>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第四部分 名词解释</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一、一般公共预算拨款收入：指财政部门当年拨付的资金。</w:t>
      </w:r>
    </w:p>
    <w:p>
      <w:pPr>
        <w:keepNext w:val="0"/>
        <w:keepLines w:val="0"/>
        <w:pageBreakBefore w:val="0"/>
        <w:widowControl/>
        <w:kinsoku/>
        <w:wordWrap/>
        <w:overflowPunct/>
        <w:topLinePunct w:val="0"/>
        <w:autoSpaceDE/>
        <w:autoSpaceDN/>
        <w:bidi w:val="0"/>
        <w:adjustRightInd/>
        <w:snapToGrid/>
        <w:spacing w:before="225" w:beforeAutospacing="0" w:after="225" w:afterAutospacing="0" w:line="500" w:lineRule="exact"/>
        <w:ind w:firstLine="480"/>
        <w:jc w:val="both"/>
        <w:textAlignment w:val="auto"/>
        <w:outlineLvl w:val="9"/>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二、其他收入：指上述“一般公共预算拨款收入”以外的收入。主要是按规定动用的售房收入、存款利息收入等。</w:t>
      </w:r>
    </w:p>
    <w:p>
      <w:pPr>
        <w:keepNext w:val="0"/>
        <w:keepLines w:val="0"/>
        <w:pageBreakBefore w:val="0"/>
        <w:widowControl/>
        <w:kinsoku/>
        <w:wordWrap/>
        <w:overflowPunct/>
        <w:topLinePunct w:val="0"/>
        <w:autoSpaceDE/>
        <w:autoSpaceDN/>
        <w:bidi w:val="0"/>
        <w:spacing w:beforeAutospacing="0" w:afterAutospacing="0" w:line="500" w:lineRule="exact"/>
        <w:textAlignment w:val="auto"/>
        <w:outlineLvl w:val="9"/>
        <w:rPr>
          <w:rFonts w:ascii="仿宋" w:hAnsi="仿宋" w:eastAsia="仿宋"/>
          <w:color w:val="000000" w:themeColor="text1"/>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9A003"/>
    <w:multiLevelType w:val="singleLevel"/>
    <w:tmpl w:val="5AD9A0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14D1"/>
    <w:rsid w:val="00037FB6"/>
    <w:rsid w:val="0008788C"/>
    <w:rsid w:val="001C56DF"/>
    <w:rsid w:val="001D19C3"/>
    <w:rsid w:val="001D5267"/>
    <w:rsid w:val="00231D31"/>
    <w:rsid w:val="00263E2C"/>
    <w:rsid w:val="002D0F18"/>
    <w:rsid w:val="00323B43"/>
    <w:rsid w:val="00340420"/>
    <w:rsid w:val="003621BF"/>
    <w:rsid w:val="00363E9C"/>
    <w:rsid w:val="003B6865"/>
    <w:rsid w:val="003D37D8"/>
    <w:rsid w:val="00426133"/>
    <w:rsid w:val="004306A9"/>
    <w:rsid w:val="004358AB"/>
    <w:rsid w:val="004653AB"/>
    <w:rsid w:val="00485455"/>
    <w:rsid w:val="00530B9C"/>
    <w:rsid w:val="00543079"/>
    <w:rsid w:val="00602CE3"/>
    <w:rsid w:val="006740C4"/>
    <w:rsid w:val="00735038"/>
    <w:rsid w:val="00741AEC"/>
    <w:rsid w:val="00787A3C"/>
    <w:rsid w:val="00837ADD"/>
    <w:rsid w:val="008B7726"/>
    <w:rsid w:val="008C462B"/>
    <w:rsid w:val="00966ED0"/>
    <w:rsid w:val="009703B6"/>
    <w:rsid w:val="009707F5"/>
    <w:rsid w:val="009E7EAF"/>
    <w:rsid w:val="00A2163B"/>
    <w:rsid w:val="00A866F1"/>
    <w:rsid w:val="00AC35FF"/>
    <w:rsid w:val="00AF2956"/>
    <w:rsid w:val="00B274BD"/>
    <w:rsid w:val="00B336E5"/>
    <w:rsid w:val="00C330D5"/>
    <w:rsid w:val="00C37133"/>
    <w:rsid w:val="00D2280D"/>
    <w:rsid w:val="00D31D50"/>
    <w:rsid w:val="00D33A26"/>
    <w:rsid w:val="00DF1A57"/>
    <w:rsid w:val="00E077FC"/>
    <w:rsid w:val="00E312C1"/>
    <w:rsid w:val="00E648DF"/>
    <w:rsid w:val="00EC2BED"/>
    <w:rsid w:val="00EC7690"/>
    <w:rsid w:val="00F37952"/>
    <w:rsid w:val="00F57009"/>
    <w:rsid w:val="00F927F6"/>
    <w:rsid w:val="00FB48C0"/>
    <w:rsid w:val="00FB5FD0"/>
    <w:rsid w:val="03CE1B80"/>
    <w:rsid w:val="079226EA"/>
    <w:rsid w:val="0E65249E"/>
    <w:rsid w:val="11666AAF"/>
    <w:rsid w:val="1268204B"/>
    <w:rsid w:val="31D6191B"/>
    <w:rsid w:val="3B2F3EF9"/>
    <w:rsid w:val="41FF729B"/>
    <w:rsid w:val="462C158F"/>
    <w:rsid w:val="484A319A"/>
    <w:rsid w:val="56B15CD7"/>
    <w:rsid w:val="6A810E00"/>
    <w:rsid w:val="6AA15942"/>
    <w:rsid w:val="7330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562</Words>
  <Characters>3204</Characters>
  <Lines>26</Lines>
  <Paragraphs>7</Paragraphs>
  <TotalTime>104</TotalTime>
  <ScaleCrop>false</ScaleCrop>
  <LinksUpToDate>false</LinksUpToDate>
  <CharactersWithSpaces>3759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2019-04-04T03:31:54Z</cp:lastPrinted>
  <dcterms:modified xsi:type="dcterms:W3CDTF">2019-04-04T03:31:59Z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