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朗县民族宗教事务局</w:t>
      </w:r>
    </w:p>
    <w:p>
      <w:pPr>
        <w:spacing w:line="640" w:lineRule="exact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 xml:space="preserve">        2018年度部门决算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时    间：</w:t>
      </w:r>
      <w:r>
        <w:rPr>
          <w:rFonts w:hint="eastAsia" w:ascii="宋体" w:hAnsi="宋体"/>
          <w:sz w:val="32"/>
          <w:szCs w:val="32"/>
          <w:u w:val="single"/>
        </w:rPr>
        <w:t xml:space="preserve"> 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8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29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jc w:val="center"/>
        <w:rPr>
          <w:rFonts w:hint="eastAsia" w:ascii="宋体" w:hAnsi="宋体"/>
          <w:b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朗县民族宗教事务局概况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一、部门决算单位构成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二、部门职责和机构设置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 朗县民族宗教事务局2018年度部门决算明细表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一、收支决算总表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二、收入决算总表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三、支出决算总表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四、财政拨款收支决算总表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五、一般公共预算财政拨款支出决算表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六、一般公共预算财政拨款基本支出决算表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七、一般公共预算相关经费支出决算表</w:t>
      </w:r>
    </w:p>
    <w:p>
      <w:pPr>
        <w:spacing w:beforeLines="100" w:afterLines="100" w:line="460" w:lineRule="exact"/>
        <w:rPr>
          <w:rFonts w:ascii="方正楷体简体" w:hAnsi="宋体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八、政府性基金预算财政拨款收支决算表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 朗县民族宗教事务局2018年度部门决算情况说明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 xml:space="preserve">第一部分 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sz w:val="44"/>
          <w:szCs w:val="44"/>
        </w:rPr>
      </w:pPr>
      <w:r>
        <w:rPr>
          <w:rFonts w:hint="eastAsia" w:ascii="黑体" w:hAnsi="宋体" w:eastAsia="黑体"/>
          <w:sz w:val="48"/>
          <w:szCs w:val="48"/>
        </w:rPr>
        <w:t>朗县民族宗教事务局概况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一、人员基本情况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朗县民族宗教事务局（全称朗县民族宗教事务局）核定编制9名（其中：科技领导指数4名，虚职领导指数3名）目前实际在编6人，缺编3名，实际在岗6人。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二、部门职责和机构设置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（一）部门职责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朗县民族宗教事务局主要职责：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1、民族宗教事务管理机构，政府工作部门。负责民族、宗教工作的职能部门。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贯彻执行国家有关民族宗教工作的方针政策，组织开展民族宗教法律、法规、政策的宣传教育工作，督促、检查民族宗教法律、法规、政策的执行情况。协调指导有关部门、有关领导落实民族宗教政策，促进民族宗教工作的开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3、负责“兴边富民”行动项目，从边境地区自然生态条件出发、解决突出问题，促进毗邻地区经济社会发展水平。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4、依法管理宗教活动场所、宗教教职人员和宗教活动；防范利用宗教进行非法、违法活动，抵御境外宗教敌对势力的渗透。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5、依法管理全县宗教事务，促进宗教关系和谐，引导宗教界在法律、法规和政策范围内活动，防范和制止利用宗教进行非法、违法活动，抵御境外利用宗教进行渗透活动。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6、依法审核审批宗教方面的有关事项，指导各宗教活动场所依法履行管理职能，推动各民族和宗教界人士进行爱国主义、社会主义、拥护祖国统一和各民族的自我教育，搞好民族团结进步活动。</w:t>
      </w:r>
    </w:p>
    <w:p>
      <w:pPr>
        <w:numPr>
          <w:ilvl w:val="0"/>
          <w:numId w:val="1"/>
        </w:numPr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部门机构设置：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朗县民族宗教事务局，正科级建制，为朗县人民政府工作部门。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第二部分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朗县民族宗教事务局2018年度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</w:rPr>
        <w:t>决算明细表</w:t>
      </w: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（见附表1－8）</w:t>
      </w: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</w:rPr>
        <w:t>第三部分</w:t>
      </w: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朗县民族宗教事务局2018年度</w:t>
      </w: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决算情况说明</w:t>
      </w: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一、2018年度一般公共预算收支总体情况说明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朗县民族宗教事务局2018年度一般公共预算收入总计182.70万元，一般公共预算支出合计177.69万元, 结余资金5.01万元，2018年收入、支出增长为100%，主要原因是2017年民族宗教事务局部门决算核在统战部、三个寺管会一起，无法取得收入支出情况。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二、2018年度一般公共预算收入情况说明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朗县民族宗教事务局2018年度一般公共预算收入总计182.70万元，财政拨款收入182.70万元,占100%。</w:t>
      </w:r>
    </w:p>
    <w:p>
      <w:pPr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三、2018年度一般公共预算支出情况说明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朗县民族宗教事务局2018年度财政拨款支出177.69万元，用于基本支出177.69万元，占100%。其中：人员经费支出152.22万元，占85.67%，日常公用经费支出25.46万元，占14.33%。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四、2018年度一般公共预算财政拨款支出情况说明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（一）财政拨款支出决算总体情况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朗县民族宗教事务局2018年度财政拨款支出总决算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177.68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（二）财政拨款支出决算结构情况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朗县民族宗教事务局2018年度财政拨款支出177.69万元。主要用于以下方面：一般公共服务支出156.98万元,占88.35%；社会保障和就业支出2.97万元，占1.68%；住房保障支出17.73万元，占9.98%。</w:t>
      </w:r>
    </w:p>
    <w:p>
      <w:pPr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楷体_GB2312" w:eastAsia="楷体_GB2312"/>
          <w:color w:val="000000"/>
          <w:sz w:val="32"/>
          <w:szCs w:val="32"/>
        </w:rPr>
        <w:t>财政拨款支出决算具体情况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1、一般公共服务</w:t>
      </w:r>
      <w:r>
        <w:rPr>
          <w:rFonts w:hint="eastAsia" w:ascii="仿宋" w:hAnsi="仿宋" w:eastAsia="仿宋" w:cs="仿宋"/>
          <w:sz w:val="32"/>
          <w:szCs w:val="32"/>
        </w:rPr>
        <w:t>支出（类）民族事务（款）行政运行（项）其他民族事务（项）支出13.32万元。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社会保障和就业支出（类）就业补助（款）公益性岗位补贴（项）支出2.97万元。</w:t>
      </w:r>
    </w:p>
    <w:p>
      <w:pPr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5、住房保障支出（类）住房改革支出（款）住房公积金（项）购房补贴（项）支出5.55万元。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rPr>
          <w:rFonts w:ascii="黑体" w:hAnsi="宋体" w:eastAsia="黑体"/>
          <w:b/>
          <w:sz w:val="32"/>
          <w:szCs w:val="32"/>
        </w:rPr>
      </w:pPr>
    </w:p>
    <w:p>
      <w:pPr>
        <w:ind w:firstLine="643" w:firstLineChars="20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五、2018年度“三公”经费预决算情况说明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朗县民族宗教事务局2018年“三公”经费情况表</w:t>
      </w:r>
    </w:p>
    <w:p>
      <w:pPr>
        <w:ind w:right="12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单位：万元</w:t>
      </w:r>
    </w:p>
    <w:tbl>
      <w:tblPr>
        <w:tblStyle w:val="5"/>
        <w:tblW w:w="89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1417"/>
        <w:gridCol w:w="154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决算数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0.68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1.因公出国（境）费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2.公务接待费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0.68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3.公务用车经费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其中：（1）公务用车运行维护费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（2）公务用车购置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627" w:firstLineChars="196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朗县民族宗教事务局2018年度一般公共预算财政拨款“三公”经费支出决算数0.45万元；比上年支出下降0.23万元。其中：公务用车购置及运行费2018年度决算数0万元，年末车辆保有量1辆。公务接待费2018年决算数0.45万元；比上年支出减少0.23万元，主要是由于公务接待次数减少，接待费用相应减少。</w:t>
      </w:r>
    </w:p>
    <w:p>
      <w:pPr>
        <w:ind w:firstLine="640" w:firstLineChars="200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2018年本部门公务接待人（次）为47人，公务接待批次（个）为7个。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六、2018年度机关运行情况说明</w:t>
      </w:r>
    </w:p>
    <w:p>
      <w:pPr>
        <w:ind w:firstLine="627" w:firstLineChars="196"/>
        <w:jc w:val="left"/>
        <w:rPr>
          <w:rFonts w:ascii="方正仿宋简体" w:hAnsi="宋体" w:eastAsia="方正仿宋简体" w:cs="宋体"/>
          <w:color w:val="FF0000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（一）2018年本部门（含下属单位）履行一般行政事业管理职能、维持机关运行，用一般公共预算安排的行政经费，合计25.46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方正仿宋简体" w:hAnsi="宋体" w:eastAsia="方正仿宋简体" w:cs="宋体"/>
          <w:sz w:val="32"/>
          <w:szCs w:val="32"/>
        </w:rPr>
        <w:t>元。其中，基本支出25.46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方正仿宋简体" w:hAnsi="宋体" w:eastAsia="方正仿宋简体" w:cs="宋体"/>
          <w:sz w:val="32"/>
          <w:szCs w:val="32"/>
        </w:rPr>
        <w:t>元，一般行政管理项目支出0.00元。</w:t>
      </w:r>
    </w:p>
    <w:p>
      <w:pPr>
        <w:numPr>
          <w:ilvl w:val="0"/>
          <w:numId w:val="2"/>
        </w:numPr>
        <w:ind w:firstLine="627" w:firstLineChars="196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机关运行经费预算的内容</w:t>
      </w:r>
    </w:p>
    <w:p>
      <w:p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行政经费由基本支出和一般行政支出两部分组成：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基本支出，包括两部分：一部分是人员经费，具体包括工资、津贴及资金、医疗费、住房补贴等；二是公用经费，具体包括办公及印刷费、水电费、邮电费、交通费、差旅费、会议费、福利费、物业管理费、日常维修费、一般购置费等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一般行政管理项目支出，包括招待费、会议费、购置费（包括设备、计算机等）、专用材料费、干部培训费、信息网络运行维护费等用于一般行政管理事务方面的项目支出。</w:t>
      </w:r>
    </w:p>
    <w:p>
      <w:pPr>
        <w:ind w:firstLine="643" w:firstLineChars="20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七、政府采购情况说明</w:t>
      </w:r>
    </w:p>
    <w:p>
      <w:p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我部门2018年无政府采购情况。</w:t>
      </w:r>
    </w:p>
    <w:p>
      <w:pPr>
        <w:ind w:firstLine="643" w:firstLineChars="20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八、国有资产占有使用情况</w:t>
      </w:r>
    </w:p>
    <w:p>
      <w:p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截至2018年12月31日，朗县统战民宗共有车辆1辆,为一般公务用车,无大型设备。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九、重点、重大项目信息</w:t>
      </w:r>
    </w:p>
    <w:p>
      <w:pPr>
        <w:ind w:firstLine="627" w:firstLineChars="196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2018年我部门无重大项目建设，且未开展预算绩效评价工作。</w:t>
      </w:r>
    </w:p>
    <w:p>
      <w:pPr>
        <w:pStyle w:val="8"/>
        <w:ind w:left="420" w:firstLine="0" w:firstLineChars="0"/>
        <w:jc w:val="left"/>
        <w:rPr>
          <w:rFonts w:ascii="方正仿宋简体" w:hAnsi="宋体" w:eastAsia="方正仿宋简体" w:cs="宋体"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ascii="方正仿宋简体" w:hAnsi="宋体" w:eastAsia="方正仿宋简体" w:cs="宋体"/>
          <w:sz w:val="32"/>
          <w:szCs w:val="32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宋体" w:eastAsia="黑体"/>
          <w:sz w:val="48"/>
          <w:szCs w:val="48"/>
        </w:rPr>
        <w:t>第四部分 名词解释</w:t>
      </w:r>
    </w:p>
    <w:p>
      <w:p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</w:p>
    <w:p>
      <w:pPr>
        <w:numPr>
          <w:ilvl w:val="0"/>
          <w:numId w:val="4"/>
        </w:num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财政拨款收入，指中央财政当年拨付的资金。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其他收入，指上述“财政拨款收入”以外的收入，主要是按规定动用的售房收入、存款利息收入等。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上年结转，指以前年度尚未完成、结转到本年度仍按原规定用途继续使用的资金。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634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00000015"/>
    <w:multiLevelType w:val="singleLevel"/>
    <w:tmpl w:val="00000015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17"/>
    <w:multiLevelType w:val="singleLevel"/>
    <w:tmpl w:val="00000017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00000018"/>
    <w:multiLevelType w:val="singleLevel"/>
    <w:tmpl w:val="0000001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152"/>
    <w:rsid w:val="0002723A"/>
    <w:rsid w:val="00045591"/>
    <w:rsid w:val="0006010E"/>
    <w:rsid w:val="00070C5C"/>
    <w:rsid w:val="000A0201"/>
    <w:rsid w:val="000A0AD7"/>
    <w:rsid w:val="000B2730"/>
    <w:rsid w:val="000D094B"/>
    <w:rsid w:val="000D458D"/>
    <w:rsid w:val="00140F28"/>
    <w:rsid w:val="00141D15"/>
    <w:rsid w:val="0015072B"/>
    <w:rsid w:val="00197693"/>
    <w:rsid w:val="001A7061"/>
    <w:rsid w:val="00200ACA"/>
    <w:rsid w:val="00292BCE"/>
    <w:rsid w:val="002E7402"/>
    <w:rsid w:val="00310DF6"/>
    <w:rsid w:val="0032008F"/>
    <w:rsid w:val="00332ACF"/>
    <w:rsid w:val="00350ECF"/>
    <w:rsid w:val="00362A65"/>
    <w:rsid w:val="00366A7B"/>
    <w:rsid w:val="003816B8"/>
    <w:rsid w:val="003F0436"/>
    <w:rsid w:val="003F5F91"/>
    <w:rsid w:val="00420082"/>
    <w:rsid w:val="00461747"/>
    <w:rsid w:val="0046297F"/>
    <w:rsid w:val="00496AB1"/>
    <w:rsid w:val="004B1156"/>
    <w:rsid w:val="005747FD"/>
    <w:rsid w:val="005817F8"/>
    <w:rsid w:val="005A5108"/>
    <w:rsid w:val="005A7AB8"/>
    <w:rsid w:val="005E4708"/>
    <w:rsid w:val="005F49E8"/>
    <w:rsid w:val="00604CB8"/>
    <w:rsid w:val="00607BF8"/>
    <w:rsid w:val="006136FF"/>
    <w:rsid w:val="0062474F"/>
    <w:rsid w:val="00632710"/>
    <w:rsid w:val="006344A1"/>
    <w:rsid w:val="006B79DB"/>
    <w:rsid w:val="006E1297"/>
    <w:rsid w:val="006F76F7"/>
    <w:rsid w:val="00703CEF"/>
    <w:rsid w:val="00727920"/>
    <w:rsid w:val="00737B41"/>
    <w:rsid w:val="007565FF"/>
    <w:rsid w:val="00782E2F"/>
    <w:rsid w:val="00783AAD"/>
    <w:rsid w:val="007A25D2"/>
    <w:rsid w:val="007D2171"/>
    <w:rsid w:val="007E3152"/>
    <w:rsid w:val="007F286A"/>
    <w:rsid w:val="00830FB3"/>
    <w:rsid w:val="00837B41"/>
    <w:rsid w:val="008420E7"/>
    <w:rsid w:val="0086706B"/>
    <w:rsid w:val="00887CD3"/>
    <w:rsid w:val="0089507F"/>
    <w:rsid w:val="008F71FE"/>
    <w:rsid w:val="00921707"/>
    <w:rsid w:val="0094545B"/>
    <w:rsid w:val="009461F1"/>
    <w:rsid w:val="009547BC"/>
    <w:rsid w:val="009900F8"/>
    <w:rsid w:val="009A3194"/>
    <w:rsid w:val="00A02A2F"/>
    <w:rsid w:val="00A30FE1"/>
    <w:rsid w:val="00A7206A"/>
    <w:rsid w:val="00AD0907"/>
    <w:rsid w:val="00AE1F95"/>
    <w:rsid w:val="00AE7E87"/>
    <w:rsid w:val="00B17BFE"/>
    <w:rsid w:val="00B411EA"/>
    <w:rsid w:val="00B54EB0"/>
    <w:rsid w:val="00B64055"/>
    <w:rsid w:val="00B700E0"/>
    <w:rsid w:val="00BB1334"/>
    <w:rsid w:val="00C7387E"/>
    <w:rsid w:val="00C91470"/>
    <w:rsid w:val="00CD672A"/>
    <w:rsid w:val="00CE2962"/>
    <w:rsid w:val="00CF24B0"/>
    <w:rsid w:val="00D237DC"/>
    <w:rsid w:val="00D754C5"/>
    <w:rsid w:val="00D87E5A"/>
    <w:rsid w:val="00D90816"/>
    <w:rsid w:val="00DA7E11"/>
    <w:rsid w:val="00DC3EF1"/>
    <w:rsid w:val="00DC55FF"/>
    <w:rsid w:val="00E1710B"/>
    <w:rsid w:val="00E206B5"/>
    <w:rsid w:val="00E66C09"/>
    <w:rsid w:val="00E74B3D"/>
    <w:rsid w:val="00F379BD"/>
    <w:rsid w:val="00F45D46"/>
    <w:rsid w:val="00F87C6D"/>
    <w:rsid w:val="00F9375E"/>
    <w:rsid w:val="00FB4100"/>
    <w:rsid w:val="00FC1AE8"/>
    <w:rsid w:val="00FC377C"/>
    <w:rsid w:val="00FE6F53"/>
    <w:rsid w:val="00FE7658"/>
    <w:rsid w:val="00FF7823"/>
    <w:rsid w:val="1FBB5213"/>
    <w:rsid w:val="2CA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F6373-98E6-4573-A7AD-AF299A6BB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396</Words>
  <Characters>2258</Characters>
  <Lines>18</Lines>
  <Paragraphs>5</Paragraphs>
  <TotalTime>274</TotalTime>
  <ScaleCrop>false</ScaleCrop>
  <LinksUpToDate>false</LinksUpToDate>
  <CharactersWithSpaces>2649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2019-08-27T13:50:00Z</dcterms:created>
  <dc:creator>PC</dc:creator>
  <cp:lastModifiedBy>Administrator</cp:lastModifiedBy>
  <cp:lastPrinted>2019-08-30T03:15:01Z</cp:lastPrinted>
  <dcterms:modified xsi:type="dcterms:W3CDTF">2019-08-30T03:15:17Z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