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 </w:t>
      </w: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朗县商务局</w:t>
      </w:r>
      <w:r>
        <w:rPr>
          <w:rFonts w:ascii="黑体" w:eastAsia="黑体" w:hAnsi="黑体" w:cs="黑体"/>
          <w:b/>
          <w:bCs/>
          <w:color w:val="000000"/>
          <w:sz w:val="48"/>
          <w:szCs w:val="48"/>
        </w:rPr>
        <w:t>2018</w:t>
      </w:r>
      <w:r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年度部门决算</w:t>
      </w: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</w:p>
    <w:p w:rsidR="00E6724A" w:rsidRDefault="00E6724A" w:rsidP="00BF27F5">
      <w:pPr>
        <w:adjustRightInd/>
        <w:snapToGrid/>
        <w:spacing w:after="225" w:line="480" w:lineRule="atLeas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9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 xml:space="preserve">2019   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 xml:space="preserve">  </w:t>
        </w:r>
      </w:smartTag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8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28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6724A" w:rsidRDefault="00E6724A">
      <w:pPr>
        <w:adjustRightInd/>
        <w:snapToGrid/>
        <w:spacing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录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第一部分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西藏林芝朗县商务局概况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一、部门预算单位构成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二、部门职责和机构设置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第二部分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西藏林芝朗县商务局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年度部门预算明细表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一、财政拨款收支总表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二、一般公共预算支出表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三、一般公共预算基本支出表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四、一般公共预算“三公”经费支出表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五、政府性基金预算支出表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六、部门收支总表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七、部门收入总表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八、部门支出总表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第三部分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西藏林芝朗县商务局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年度部门预算数据分析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第四部分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名词解释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黑体" w:eastAsia="黑体" w:hAnsi="黑体" w:cs="宋体"/>
          <w:color w:val="000000"/>
          <w:sz w:val="24"/>
          <w:szCs w:val="24"/>
        </w:rPr>
        <w:t xml:space="preserve">          </w:t>
      </w:r>
    </w:p>
    <w:p w:rsidR="00E6724A" w:rsidRDefault="00E6724A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color w:val="000000"/>
          <w:sz w:val="24"/>
          <w:szCs w:val="24"/>
        </w:rPr>
      </w:pPr>
    </w:p>
    <w:p w:rsidR="00E6724A" w:rsidRDefault="00E6724A" w:rsidP="00BF27F5">
      <w:pPr>
        <w:adjustRightInd/>
        <w:snapToGrid/>
        <w:spacing w:after="0" w:line="598" w:lineRule="exact"/>
        <w:ind w:firstLineChars="600" w:firstLine="31680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   </w:t>
      </w:r>
    </w:p>
    <w:p w:rsidR="00E6724A" w:rsidRDefault="00E6724A" w:rsidP="00BF27F5">
      <w:pPr>
        <w:adjustRightInd/>
        <w:snapToGrid/>
        <w:spacing w:after="0" w:line="598" w:lineRule="exact"/>
        <w:ind w:firstLineChars="600" w:firstLine="31680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第一部分</w:t>
      </w:r>
    </w:p>
    <w:p w:rsidR="00E6724A" w:rsidRDefault="00E6724A" w:rsidP="00A2482B">
      <w:pPr>
        <w:adjustRightInd/>
        <w:snapToGrid/>
        <w:spacing w:beforeLines="71" w:after="0" w:line="59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西藏林芝朗县商务局概况</w:t>
      </w:r>
    </w:p>
    <w:p w:rsidR="00E6724A" w:rsidRDefault="00E6724A">
      <w:pPr>
        <w:adjustRightInd/>
        <w:snapToGrid/>
        <w:spacing w:after="0" w:line="598" w:lineRule="exact"/>
        <w:ind w:firstLine="480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一、部门预算单位构成</w:t>
      </w:r>
    </w:p>
    <w:p w:rsidR="00E6724A" w:rsidRDefault="00E6724A">
      <w:pPr>
        <w:adjustRightInd/>
        <w:snapToGrid/>
        <w:spacing w:after="0" w:line="598" w:lineRule="exact"/>
        <w:ind w:firstLine="4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西藏林芝朗县商务局</w:t>
      </w:r>
    </w:p>
    <w:p w:rsidR="00E6724A" w:rsidRDefault="00E6724A">
      <w:pPr>
        <w:adjustRightInd/>
        <w:snapToGrid/>
        <w:spacing w:after="0" w:line="598" w:lineRule="exact"/>
        <w:ind w:firstLine="480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二、部门职责和机构设置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（一）部门职责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、贯彻执行县委、县政府招商引资方面文件、政策、规定和决定，研究、拟定招商引资优惠政策和招商引资计划，统一管理全县招商引资工作。拟订朗县商贸流通发展、外贸发展规划。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、项目的收集筛选工作，建立项目库。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、负责投资咨询工作；接待国内外客商，参与招商项目的洽谈，做好与客商的联络和服务工作。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、招商项目推介，招商项目跟踪落实。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、组织渝洽会、西博会、厦交会、林芝投资贸易洽谈会等重要展会的参展工作。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、作好招商引资、民间投资统计上报工作。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、市场流通监测，组织实施我县重要消费品市场调控和重要生产资料流通管理。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、家电下乡推广及补贴资金兑现。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、特种行业管理（加油站、再生资源回收利用等）。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、市场整顿和规范市场经济秩序工作。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、做好电子商务进农村各项工作。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、承办县委、县政府以及市商务局交办、委托的其他事项。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（二）部门机构设置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根据上述职责，西藏林芝朗县商务局设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个内设机构），具体如下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、办公室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负责会议组织、文电管理、秘书事务、政务信息、档案、保密、信访等委机关日常政务。负责重要文件起草工作；研究招商引资政策、方针和；组织、参与起草有关规定、办法和规范性文件；对有关经济法规和规章的执行情况进行调查研究。</w:t>
      </w:r>
    </w:p>
    <w:p w:rsidR="00E6724A" w:rsidRDefault="00E6724A">
      <w:pPr>
        <w:adjustRightInd/>
        <w:snapToGrid/>
        <w:spacing w:after="0" w:line="598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供销合作办</w:t>
      </w:r>
    </w:p>
    <w:p w:rsidR="00E6724A" w:rsidRDefault="00E6724A">
      <w:pPr>
        <w:adjustRightInd/>
        <w:snapToGrid/>
        <w:spacing w:after="0" w:line="580" w:lineRule="exact"/>
        <w:ind w:firstLine="645"/>
        <w:rPr>
          <w:rFonts w:ascii="仿宋" w:eastAsia="仿宋" w:hAnsi="仿宋" w:cs="仿宋"/>
          <w:color w:val="00000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负责有关农村经济工作和社会发展的方针、政策；参与研究制订全县农村商品流通的方针、政策规定；研究制定全县供销社和企业服务站的发展战略和发展规划，指导全县供销社的改革和发展；按照县政府授权，对重要农业生产资料、农付产品的经营进行组织、协调、管理；组织实施有关重要救灾物资的调拨供应。向县政府和有关部门反映农民社员及供销社的意见和要求，维护所属供销社和企业的合法权益，协调与有关部门的关系；指导全县供销社开展农业社会化服务和各项经营业务活动，促进城乡物资交流；指导全县供销社的经营管理；组织所属各供销社之间的经济合作；负责系统内有关基本建设和技术改造项目的管理；对所属单位的社有资产进行监督管理，并负责保值增值。</w:t>
      </w:r>
    </w:p>
    <w:p w:rsidR="00E6724A" w:rsidRDefault="00E6724A">
      <w:pPr>
        <w:adjustRightInd/>
        <w:snapToGrid/>
        <w:spacing w:after="0" w:line="580" w:lineRule="exact"/>
        <w:rPr>
          <w:rFonts w:ascii="仿宋" w:eastAsia="仿宋" w:hAnsi="仿宋" w:cs="仿宋"/>
          <w:color w:val="000000"/>
          <w:sz w:val="32"/>
          <w:szCs w:val="32"/>
          <w:lang w:val="zh-CN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3.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企业服务办公室</w:t>
      </w:r>
    </w:p>
    <w:p w:rsidR="00E6724A" w:rsidRDefault="00E6724A">
      <w:pPr>
        <w:adjustRightInd/>
        <w:snapToGrid/>
        <w:spacing w:after="0" w:line="58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负责招商引资项目推介、跟踪、上报相关数据。负责投资咨询工作；接待国内外客商，参与招商项目的洽谈，做好与客商的联络和服务工作。制定企业联席制度，定期召开企业相关会议、并处理企业运营中出现的相关问题，工作事宜。</w:t>
      </w:r>
    </w:p>
    <w:p w:rsidR="00E6724A" w:rsidRDefault="00E6724A">
      <w:pPr>
        <w:numPr>
          <w:ilvl w:val="0"/>
          <w:numId w:val="1"/>
        </w:numPr>
        <w:adjustRightInd/>
        <w:snapToGrid/>
        <w:spacing w:after="0" w:line="58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电商办</w:t>
      </w:r>
    </w:p>
    <w:p w:rsidR="00E6724A" w:rsidRDefault="00E6724A" w:rsidP="00BF27F5">
      <w:pPr>
        <w:adjustRightInd/>
        <w:snapToGrid/>
        <w:spacing w:after="100" w:afterAutospacing="1" w:line="58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负责收集生产、生活资料需求信息，做好信息收集、上报和购销对接服务。领导小组定期主持召开电子商务进农村工作会议，不定期主持召开电子商务企业、行业和运营商座谈会，研究电子商务发展模式，解决电子商务发展过程中遇到的困难和问题。加强对各级干部的宣传、教育、培训，提升他们开展电子商务进农牧区工作能力和业务素质。根据全县总体工作方案，各引导主体要制定切实可行的具体项目实施方案，负责引导和支持电商企业、电商服务企业等进农牧区。建立健全管理制度，加强建设我县电子商务标准和统计体系，加强对网上涉及行政许可的商品和服务监管，引导电子商务规范有序发展</w:t>
      </w:r>
      <w:r>
        <w:rPr>
          <w:rFonts w:ascii="仿宋" w:eastAsia="仿宋" w:hAnsi="仿宋" w:cs="仿宋"/>
          <w:color w:val="000000"/>
          <w:sz w:val="32"/>
          <w:szCs w:val="32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。</w:t>
      </w:r>
    </w:p>
    <w:p w:rsidR="00E6724A" w:rsidRDefault="00E6724A" w:rsidP="00BF27F5">
      <w:pPr>
        <w:adjustRightInd/>
        <w:snapToGrid/>
        <w:spacing w:before="225" w:after="225"/>
        <w:ind w:firstLineChars="200" w:firstLine="31680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E6724A" w:rsidRDefault="00E6724A" w:rsidP="00BF27F5">
      <w:pPr>
        <w:adjustRightInd/>
        <w:snapToGrid/>
        <w:spacing w:before="225" w:after="225" w:line="480" w:lineRule="atLeast"/>
        <w:ind w:firstLineChars="200" w:firstLine="3168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6724A" w:rsidRDefault="00E6724A" w:rsidP="00BF27F5">
      <w:pPr>
        <w:adjustRightInd/>
        <w:snapToGrid/>
        <w:spacing w:before="225" w:after="225" w:line="480" w:lineRule="atLeast"/>
        <w:ind w:firstLineChars="200" w:firstLine="3168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6724A" w:rsidRDefault="00E6724A">
      <w:pPr>
        <w:adjustRightInd/>
        <w:snapToGrid/>
        <w:spacing w:before="225"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6724A" w:rsidRDefault="00E6724A">
      <w:pPr>
        <w:adjustRightInd/>
        <w:snapToGrid/>
        <w:spacing w:before="225"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6724A" w:rsidRDefault="00E6724A">
      <w:pPr>
        <w:adjustRightInd/>
        <w:snapToGrid/>
        <w:spacing w:before="225" w:after="225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6724A" w:rsidRDefault="00E6724A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E6724A" w:rsidRDefault="00E6724A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E6724A" w:rsidRDefault="00E6724A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E6724A" w:rsidRDefault="00E6724A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第二部分</w:t>
      </w:r>
    </w:p>
    <w:p w:rsidR="00E6724A" w:rsidRDefault="00E6724A" w:rsidP="00BF27F5">
      <w:pPr>
        <w:spacing w:line="460" w:lineRule="exact"/>
        <w:ind w:firstLineChars="200" w:firstLine="3168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朗县商务局</w:t>
      </w:r>
      <w:r>
        <w:rPr>
          <w:rFonts w:ascii="黑体" w:eastAsia="黑体" w:hAnsi="宋体"/>
          <w:sz w:val="44"/>
          <w:szCs w:val="44"/>
        </w:rPr>
        <w:t>2018</w:t>
      </w:r>
      <w:r>
        <w:rPr>
          <w:rFonts w:ascii="黑体" w:eastAsia="黑体" w:hAnsi="宋体" w:hint="eastAsia"/>
          <w:sz w:val="44"/>
          <w:szCs w:val="44"/>
        </w:rPr>
        <w:t>年度决算明细表</w:t>
      </w:r>
    </w:p>
    <w:p w:rsidR="00E6724A" w:rsidRDefault="00E6724A" w:rsidP="00BF27F5">
      <w:pPr>
        <w:spacing w:line="460" w:lineRule="exact"/>
        <w:ind w:firstLineChars="200" w:firstLine="3168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t>(</w:t>
      </w:r>
      <w:r>
        <w:rPr>
          <w:rFonts w:ascii="黑体" w:eastAsia="黑体" w:hAnsi="宋体" w:hint="eastAsia"/>
          <w:sz w:val="44"/>
          <w:szCs w:val="44"/>
        </w:rPr>
        <w:t>见附表</w:t>
      </w:r>
      <w:r>
        <w:rPr>
          <w:rFonts w:ascii="黑体" w:eastAsia="黑体" w:hAnsi="宋体"/>
          <w:sz w:val="44"/>
          <w:szCs w:val="44"/>
        </w:rPr>
        <w:t>1-8)</w:t>
      </w:r>
    </w:p>
    <w:p w:rsidR="00E6724A" w:rsidRDefault="00E6724A">
      <w:pPr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/>
          <w:sz w:val="48"/>
          <w:szCs w:val="48"/>
        </w:rPr>
        <w:t xml:space="preserve">           </w:t>
      </w: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/>
          <w:sz w:val="48"/>
          <w:szCs w:val="48"/>
        </w:rPr>
        <w:t xml:space="preserve">  </w:t>
      </w: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</w:p>
    <w:p w:rsidR="00E6724A" w:rsidRDefault="00E6724A">
      <w:pPr>
        <w:rPr>
          <w:rFonts w:ascii="黑体" w:eastAsia="黑体" w:hAnsi="宋体"/>
          <w:sz w:val="48"/>
          <w:szCs w:val="48"/>
        </w:rPr>
      </w:pPr>
    </w:p>
    <w:p w:rsidR="00E6724A" w:rsidRDefault="00E6724A" w:rsidP="00BF27F5">
      <w:pPr>
        <w:ind w:firstLineChars="600" w:firstLine="31680"/>
        <w:rPr>
          <w:rFonts w:ascii="黑体" w:eastAsia="黑体" w:hAnsi="宋体"/>
          <w:sz w:val="48"/>
          <w:szCs w:val="48"/>
        </w:rPr>
      </w:pPr>
    </w:p>
    <w:p w:rsidR="00E6724A" w:rsidRDefault="00E6724A">
      <w:pPr>
        <w:jc w:val="center"/>
        <w:rPr>
          <w:rFonts w:ascii="黑体" w:eastAsia="黑体" w:hAnsi="黑体" w:cs="黑体"/>
          <w:sz w:val="44"/>
          <w:szCs w:val="44"/>
        </w:rPr>
      </w:pPr>
    </w:p>
    <w:p w:rsidR="00E6724A" w:rsidRDefault="00E6724A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第三部分</w:t>
      </w:r>
    </w:p>
    <w:p w:rsidR="00E6724A" w:rsidRDefault="00E6724A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朗县商务局</w:t>
      </w:r>
      <w:r>
        <w:rPr>
          <w:rFonts w:ascii="黑体" w:eastAsia="黑体" w:hAnsi="黑体" w:cs="黑体"/>
          <w:sz w:val="44"/>
          <w:szCs w:val="44"/>
        </w:rPr>
        <w:t>2018</w:t>
      </w:r>
      <w:r>
        <w:rPr>
          <w:rFonts w:ascii="黑体" w:eastAsia="黑体" w:hAnsi="黑体" w:cs="黑体" w:hint="eastAsia"/>
          <w:sz w:val="44"/>
          <w:szCs w:val="44"/>
        </w:rPr>
        <w:t>年度</w:t>
      </w:r>
    </w:p>
    <w:p w:rsidR="00E6724A" w:rsidRDefault="00E6724A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决算情况说明</w:t>
      </w:r>
    </w:p>
    <w:p w:rsidR="00E6724A" w:rsidRDefault="00E6724A" w:rsidP="00BF27F5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年度一般公共预算收支总体情况说明</w:t>
      </w:r>
    </w:p>
    <w:p w:rsidR="00E6724A" w:rsidRDefault="00E6724A" w:rsidP="00BF27F5">
      <w:pPr>
        <w:ind w:firstLineChars="196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朗县商务局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年度收入总计</w:t>
      </w:r>
      <w:r>
        <w:rPr>
          <w:rFonts w:ascii="仿宋" w:eastAsia="仿宋" w:hAnsi="仿宋" w:cs="仿宋"/>
          <w:sz w:val="32"/>
          <w:szCs w:val="32"/>
        </w:rPr>
        <w:t xml:space="preserve"> 129.85</w:t>
      </w:r>
      <w:r>
        <w:rPr>
          <w:rFonts w:ascii="仿宋" w:eastAsia="仿宋" w:hAnsi="仿宋" w:cs="仿宋" w:hint="eastAsia"/>
          <w:sz w:val="32"/>
          <w:szCs w:val="32"/>
        </w:rPr>
        <w:t>万元，支出总计</w:t>
      </w:r>
      <w:r>
        <w:rPr>
          <w:rFonts w:ascii="仿宋" w:eastAsia="仿宋" w:hAnsi="仿宋" w:cs="仿宋"/>
          <w:sz w:val="32"/>
          <w:szCs w:val="32"/>
        </w:rPr>
        <w:t>99.15</w:t>
      </w:r>
      <w:r>
        <w:rPr>
          <w:rFonts w:ascii="仿宋" w:eastAsia="仿宋" w:hAnsi="仿宋" w:cs="仿宋" w:hint="eastAsia"/>
          <w:sz w:val="32"/>
          <w:szCs w:val="32"/>
        </w:rPr>
        <w:t>万元，与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年相比，收、支各增加</w:t>
      </w:r>
      <w:r>
        <w:rPr>
          <w:rFonts w:ascii="仿宋" w:eastAsia="仿宋" w:hAnsi="仿宋" w:cs="仿宋"/>
          <w:sz w:val="32"/>
          <w:szCs w:val="32"/>
        </w:rPr>
        <w:t>20.06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/>
          <w:sz w:val="32"/>
          <w:szCs w:val="32"/>
        </w:rPr>
        <w:t>23.12</w:t>
      </w:r>
      <w:r>
        <w:rPr>
          <w:rFonts w:ascii="仿宋" w:eastAsia="仿宋" w:hAnsi="仿宋" w:cs="仿宋" w:hint="eastAsia"/>
          <w:sz w:val="32"/>
          <w:szCs w:val="32"/>
        </w:rPr>
        <w:t>万元，增长</w:t>
      </w:r>
      <w:r>
        <w:rPr>
          <w:rFonts w:ascii="仿宋" w:eastAsia="仿宋" w:hAnsi="仿宋" w:cs="仿宋"/>
          <w:sz w:val="32"/>
          <w:szCs w:val="32"/>
        </w:rPr>
        <w:t>19.5%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。主要原因是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年招商引资、市场监测项目等支出增加。</w:t>
      </w:r>
    </w:p>
    <w:p w:rsidR="00E6724A" w:rsidRDefault="00E6724A" w:rsidP="00BF27F5">
      <w:pPr>
        <w:ind w:firstLineChars="196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年度一般公共预算收入情况说明</w:t>
      </w:r>
    </w:p>
    <w:p w:rsidR="00E6724A" w:rsidRDefault="00E6724A" w:rsidP="00BF27F5">
      <w:pPr>
        <w:ind w:firstLineChars="196" w:firstLine="31680"/>
        <w:rPr>
          <w:rFonts w:ascii="宋体" w:eastAsia="宋体" w:cs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朗县商务局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年度财政拨款收入是</w:t>
      </w:r>
      <w:r>
        <w:rPr>
          <w:rFonts w:ascii="仿宋" w:eastAsia="仿宋" w:hAnsi="仿宋" w:cs="仿宋"/>
          <w:color w:val="000000"/>
          <w:sz w:val="32"/>
          <w:szCs w:val="32"/>
        </w:rPr>
        <w:t>129.85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财政拨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款收入</w:t>
      </w:r>
      <w:r>
        <w:rPr>
          <w:rFonts w:ascii="仿宋" w:eastAsia="仿宋" w:hAnsi="仿宋" w:cs="仿宋"/>
          <w:color w:val="000000"/>
          <w:sz w:val="32"/>
          <w:szCs w:val="32"/>
        </w:rPr>
        <w:t>129.85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宋体" w:hAnsi="宋体" w:cs="宋体" w:hint="eastAsia"/>
          <w:color w:val="000000"/>
          <w:sz w:val="32"/>
          <w:szCs w:val="32"/>
        </w:rPr>
        <w:t>％。</w:t>
      </w:r>
    </w:p>
    <w:p w:rsidR="00E6724A" w:rsidRDefault="00E6724A" w:rsidP="00BF27F5">
      <w:pPr>
        <w:ind w:firstLineChars="196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年度一般公共预算支出情况说明</w:t>
      </w:r>
    </w:p>
    <w:p w:rsidR="00E6724A" w:rsidRDefault="00E6724A" w:rsidP="00BF27F5">
      <w:pPr>
        <w:ind w:firstLineChars="196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朗县商务局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年度支出</w:t>
      </w:r>
      <w:r>
        <w:rPr>
          <w:rFonts w:ascii="仿宋" w:eastAsia="仿宋" w:hAnsi="仿宋" w:cs="仿宋"/>
          <w:sz w:val="32"/>
          <w:szCs w:val="32"/>
        </w:rPr>
        <w:t>99.15</w:t>
      </w:r>
      <w:r>
        <w:rPr>
          <w:rFonts w:ascii="仿宋" w:eastAsia="仿宋" w:hAnsi="仿宋" w:cs="仿宋" w:hint="eastAsia"/>
          <w:sz w:val="32"/>
          <w:szCs w:val="32"/>
        </w:rPr>
        <w:t>万元，基本支出</w:t>
      </w:r>
      <w:r>
        <w:rPr>
          <w:rFonts w:ascii="仿宋" w:eastAsia="仿宋" w:hAnsi="仿宋" w:cs="仿宋"/>
          <w:sz w:val="32"/>
          <w:szCs w:val="32"/>
        </w:rPr>
        <w:t>99.15</w:t>
      </w:r>
      <w:r>
        <w:rPr>
          <w:rFonts w:ascii="仿宋" w:eastAsia="仿宋" w:hAnsi="仿宋" w:cs="仿宋" w:hint="eastAsia"/>
          <w:sz w:val="32"/>
          <w:szCs w:val="32"/>
        </w:rPr>
        <w:t>万元，其中人员支出万元</w:t>
      </w:r>
      <w:r>
        <w:rPr>
          <w:rFonts w:ascii="仿宋" w:eastAsia="仿宋" w:hAnsi="仿宋" w:cs="仿宋"/>
          <w:sz w:val="32"/>
          <w:szCs w:val="32"/>
        </w:rPr>
        <w:t>81.98</w:t>
      </w:r>
      <w:r>
        <w:rPr>
          <w:rFonts w:ascii="仿宋" w:eastAsia="仿宋" w:hAnsi="仿宋" w:cs="仿宋" w:hint="eastAsia"/>
          <w:sz w:val="32"/>
          <w:szCs w:val="32"/>
        </w:rPr>
        <w:t>，占</w:t>
      </w:r>
      <w:r>
        <w:rPr>
          <w:rFonts w:ascii="仿宋" w:eastAsia="仿宋" w:hAnsi="仿宋" w:cs="仿宋"/>
          <w:sz w:val="32"/>
          <w:szCs w:val="32"/>
        </w:rPr>
        <w:t>83%</w:t>
      </w:r>
      <w:r>
        <w:rPr>
          <w:rFonts w:ascii="仿宋" w:eastAsia="仿宋" w:hAnsi="仿宋" w:cs="仿宋" w:hint="eastAsia"/>
          <w:sz w:val="32"/>
          <w:szCs w:val="32"/>
        </w:rPr>
        <w:t>；日常公用经费支出</w:t>
      </w:r>
      <w:r>
        <w:rPr>
          <w:rFonts w:ascii="仿宋" w:eastAsia="仿宋" w:hAnsi="仿宋" w:cs="仿宋"/>
          <w:sz w:val="32"/>
          <w:szCs w:val="32"/>
        </w:rPr>
        <w:t>17.18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17%</w:t>
      </w:r>
      <w:r>
        <w:rPr>
          <w:rFonts w:ascii="仿宋" w:eastAsia="仿宋" w:hAnsi="仿宋" w:cs="仿宋" w:hint="eastAsia"/>
          <w:sz w:val="32"/>
          <w:szCs w:val="32"/>
        </w:rPr>
        <w:t>。项目支出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6724A" w:rsidRDefault="00E6724A" w:rsidP="00BF27F5">
      <w:pPr>
        <w:ind w:firstLineChars="196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年度一般公共预算财政拨款支出情况说明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（一）财政拨款支出决算数为</w:t>
      </w:r>
      <w:r>
        <w:rPr>
          <w:rFonts w:ascii="仿宋" w:eastAsia="仿宋" w:hAnsi="仿宋" w:cs="仿宋"/>
          <w:sz w:val="32"/>
          <w:szCs w:val="32"/>
        </w:rPr>
        <w:t>99.15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（二）财政拨款支出决算结构情况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一般公共预算支出</w:t>
      </w:r>
      <w:r>
        <w:rPr>
          <w:rFonts w:ascii="仿宋" w:eastAsia="仿宋" w:hAnsi="仿宋" w:cs="仿宋"/>
          <w:sz w:val="32"/>
          <w:szCs w:val="32"/>
        </w:rPr>
        <w:t>99.15</w:t>
      </w:r>
      <w:r>
        <w:rPr>
          <w:rFonts w:ascii="仿宋" w:eastAsia="仿宋" w:hAnsi="仿宋" w:cs="仿宋" w:hint="eastAsia"/>
          <w:sz w:val="32"/>
          <w:szCs w:val="32"/>
        </w:rPr>
        <w:t>万元，主要用于以下方面：一是一般公共服务支出</w:t>
      </w:r>
      <w:r>
        <w:rPr>
          <w:rFonts w:ascii="仿宋" w:eastAsia="仿宋" w:hAnsi="仿宋" w:cs="仿宋"/>
          <w:sz w:val="32"/>
          <w:szCs w:val="32"/>
        </w:rPr>
        <w:t>98.13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98.9%</w:t>
      </w:r>
      <w:r>
        <w:rPr>
          <w:rFonts w:ascii="仿宋" w:eastAsia="仿宋" w:hAnsi="仿宋" w:cs="仿宋" w:hint="eastAsia"/>
          <w:sz w:val="32"/>
          <w:szCs w:val="32"/>
        </w:rPr>
        <w:t>。二是医疗卫生与计划生育支出</w:t>
      </w:r>
      <w:r>
        <w:rPr>
          <w:rFonts w:ascii="仿宋" w:eastAsia="仿宋" w:hAnsi="仿宋" w:cs="仿宋"/>
          <w:sz w:val="32"/>
          <w:szCs w:val="32"/>
        </w:rPr>
        <w:t>0.78</w:t>
      </w:r>
      <w:r>
        <w:rPr>
          <w:rFonts w:ascii="仿宋" w:eastAsia="仿宋" w:hAnsi="仿宋" w:cs="仿宋" w:hint="eastAsia"/>
          <w:sz w:val="32"/>
          <w:szCs w:val="32"/>
        </w:rPr>
        <w:t>万元。占</w:t>
      </w:r>
      <w:r>
        <w:rPr>
          <w:rFonts w:ascii="仿宋" w:eastAsia="仿宋" w:hAnsi="仿宋" w:cs="仿宋"/>
          <w:sz w:val="32"/>
          <w:szCs w:val="32"/>
        </w:rPr>
        <w:t>0.78%</w:t>
      </w:r>
      <w:r>
        <w:rPr>
          <w:rFonts w:ascii="仿宋" w:eastAsia="仿宋" w:hAnsi="仿宋" w:cs="仿宋" w:hint="eastAsia"/>
          <w:sz w:val="32"/>
          <w:szCs w:val="32"/>
        </w:rPr>
        <w:t>。三是商业服务业等支出</w:t>
      </w:r>
      <w:r>
        <w:rPr>
          <w:rFonts w:ascii="仿宋" w:eastAsia="仿宋" w:hAnsi="仿宋" w:cs="仿宋"/>
          <w:sz w:val="32"/>
          <w:szCs w:val="32"/>
        </w:rPr>
        <w:t>0.24</w:t>
      </w:r>
      <w:r>
        <w:rPr>
          <w:rFonts w:ascii="仿宋" w:eastAsia="仿宋" w:hAnsi="仿宋" w:cs="仿宋" w:hint="eastAsia"/>
          <w:sz w:val="32"/>
          <w:szCs w:val="32"/>
        </w:rPr>
        <w:t>万元。占</w:t>
      </w:r>
      <w:r>
        <w:rPr>
          <w:rFonts w:ascii="仿宋" w:eastAsia="仿宋" w:hAnsi="仿宋" w:cs="仿宋"/>
          <w:sz w:val="32"/>
          <w:szCs w:val="32"/>
        </w:rPr>
        <w:t>0.24%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（三）财政拨款支出决算具体情况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一般公共服务支出（类）商贸事物（款）行政运行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（项）</w:t>
      </w:r>
      <w:r>
        <w:rPr>
          <w:rFonts w:ascii="仿宋" w:eastAsia="仿宋" w:hAnsi="仿宋" w:cs="仿宋"/>
          <w:sz w:val="32"/>
          <w:szCs w:val="32"/>
        </w:rPr>
        <w:t>83.99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一般公共服务支出（类）商贸事物（款）一般行政管理事务（项）</w:t>
      </w:r>
      <w:r>
        <w:rPr>
          <w:rFonts w:ascii="仿宋" w:eastAsia="仿宋" w:hAnsi="仿宋" w:cs="仿宋"/>
          <w:sz w:val="32"/>
          <w:szCs w:val="32"/>
        </w:rPr>
        <w:t>3.8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一般公共服务支出（类）商贸事物（款）招商引资（项）支出</w:t>
      </w:r>
      <w:r>
        <w:rPr>
          <w:rFonts w:ascii="仿宋" w:eastAsia="仿宋" w:hAnsi="仿宋" w:cs="仿宋"/>
          <w:sz w:val="32"/>
          <w:szCs w:val="32"/>
        </w:rPr>
        <w:t>10.35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、医疗卫生与计划生育支出（类）行政事业单位医疗（款）其他行政事业单位医疗（项）支出</w:t>
      </w:r>
      <w:r>
        <w:rPr>
          <w:rFonts w:ascii="仿宋" w:eastAsia="仿宋" w:hAnsi="仿宋" w:cs="仿宋"/>
          <w:sz w:val="32"/>
          <w:szCs w:val="32"/>
        </w:rPr>
        <w:t>0.78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、商业服务业等支出（类）商业流通事物（款）市场监测及信息管理（项）支出</w:t>
      </w:r>
      <w:r>
        <w:rPr>
          <w:rFonts w:ascii="仿宋" w:eastAsia="仿宋" w:hAnsi="仿宋" w:cs="仿宋"/>
          <w:sz w:val="32"/>
          <w:szCs w:val="32"/>
        </w:rPr>
        <w:t>0.24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E6724A" w:rsidRDefault="00E6724A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五、</w:t>
      </w:r>
      <w:r>
        <w:rPr>
          <w:rFonts w:ascii="黑体" w:eastAsia="黑体" w:hAnsi="宋体"/>
          <w:bCs/>
          <w:sz w:val="32"/>
          <w:szCs w:val="32"/>
        </w:rPr>
        <w:t>2017</w:t>
      </w:r>
      <w:r>
        <w:rPr>
          <w:rFonts w:ascii="黑体" w:eastAsia="黑体" w:hAnsi="宋体" w:hint="eastAsia"/>
          <w:bCs/>
          <w:sz w:val="32"/>
          <w:szCs w:val="32"/>
        </w:rPr>
        <w:t>年度“三公”经费预决算情况说明</w:t>
      </w:r>
    </w:p>
    <w:p w:rsidR="00E6724A" w:rsidRDefault="00E6724A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朗县商务局</w:t>
      </w:r>
      <w:r>
        <w:rPr>
          <w:rFonts w:ascii="仿宋" w:eastAsia="仿宋" w:hAnsi="仿宋" w:cs="仿宋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年“三公”经费情况表</w:t>
      </w:r>
    </w:p>
    <w:p w:rsidR="00E6724A" w:rsidRDefault="00E6724A" w:rsidP="00A2482B">
      <w:pPr>
        <w:tabs>
          <w:tab w:val="center" w:pos="4213"/>
          <w:tab w:val="right" w:pos="8306"/>
        </w:tabs>
        <w:spacing w:beforeLines="100" w:afterLines="1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单位：万元</w:t>
      </w:r>
    </w:p>
    <w:tbl>
      <w:tblPr>
        <w:tblW w:w="8969" w:type="dxa"/>
        <w:jc w:val="center"/>
        <w:tblLayout w:type="fixed"/>
        <w:tblLook w:val="00A0"/>
      </w:tblPr>
      <w:tblGrid>
        <w:gridCol w:w="4160"/>
        <w:gridCol w:w="1417"/>
        <w:gridCol w:w="1549"/>
        <w:gridCol w:w="1843"/>
      </w:tblGrid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ind w:right="12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单位：万元项目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预算数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决算数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0.50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因公出国（境）费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tabs>
                <w:tab w:val="left" w:pos="495"/>
              </w:tabs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ab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公务接待费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0.50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公务用车经费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6724A" w:rsidRPr="00A2482B">
        <w:trPr>
          <w:trHeight w:hRule="exact" w:val="772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其中：（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）公务用车运行维护费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E6724A" w:rsidRPr="00A2482B">
        <w:trPr>
          <w:trHeight w:hRule="exact" w:val="56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）公务用车购置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4A" w:rsidRDefault="00E6724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</w:tbl>
    <w:p w:rsidR="00E6724A" w:rsidRDefault="00E6724A" w:rsidP="00E6724A">
      <w:pPr>
        <w:ind w:firstLineChars="196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年度我局“三公”经费发生</w:t>
      </w:r>
      <w:r>
        <w:rPr>
          <w:rFonts w:ascii="仿宋_GB2312" w:eastAsia="仿宋_GB2312" w:hAnsi="仿宋_GB2312" w:cs="仿宋_GB2312"/>
          <w:sz w:val="32"/>
          <w:szCs w:val="32"/>
        </w:rPr>
        <w:t>0.48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万元。其中公务接待费</w:t>
      </w:r>
      <w:r>
        <w:rPr>
          <w:rFonts w:ascii="仿宋_GB2312" w:eastAsia="仿宋_GB2312" w:hAnsi="仿宋_GB2312" w:cs="仿宋_GB2312"/>
          <w:sz w:val="32"/>
          <w:szCs w:val="32"/>
        </w:rPr>
        <w:t>0.48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万元。国内公务接待</w:t>
      </w:r>
      <w:r>
        <w:rPr>
          <w:rFonts w:ascii="仿宋_GB2312" w:eastAsia="仿宋_GB2312" w:hAnsi="仿宋_GB2312" w:cs="仿宋_GB2312"/>
          <w:sz w:val="32"/>
          <w:szCs w:val="32"/>
        </w:rPr>
        <w:t xml:space="preserve">3 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批次、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人次。我局目前没有公务车。（说明：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年商务局系发改委二级局，没有单独的公用经费，无法做对比）。</w:t>
      </w:r>
    </w:p>
    <w:p w:rsidR="00E6724A" w:rsidRDefault="00E6724A" w:rsidP="00BF27F5">
      <w:pPr>
        <w:ind w:firstLineChars="200" w:firstLine="316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六、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年度机关运行情况说明</w:t>
      </w:r>
    </w:p>
    <w:p w:rsidR="00E6724A" w:rsidRDefault="00E6724A" w:rsidP="00BF27F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年本部门（含下属单位）履行一般行政事业管理职能、维持机关运行，用一般公用预算安排的行政经费，合计</w:t>
      </w:r>
      <w:r>
        <w:rPr>
          <w:rFonts w:ascii="仿宋" w:eastAsia="仿宋" w:hAnsi="仿宋"/>
          <w:sz w:val="32"/>
          <w:szCs w:val="32"/>
        </w:rPr>
        <w:t>17.18</w:t>
      </w:r>
      <w:r>
        <w:rPr>
          <w:rFonts w:ascii="仿宋" w:eastAsia="仿宋" w:hAnsi="仿宋" w:hint="eastAsia"/>
          <w:sz w:val="32"/>
          <w:szCs w:val="32"/>
        </w:rPr>
        <w:t>万元。其中，基本支出</w:t>
      </w:r>
      <w:r>
        <w:rPr>
          <w:rFonts w:ascii="仿宋" w:eastAsia="仿宋" w:hAnsi="仿宋"/>
          <w:sz w:val="32"/>
          <w:szCs w:val="32"/>
        </w:rPr>
        <w:t>17.18</w:t>
      </w:r>
      <w:r>
        <w:rPr>
          <w:rFonts w:ascii="仿宋" w:eastAsia="仿宋" w:hAnsi="仿宋" w:hint="eastAsia"/>
          <w:sz w:val="32"/>
          <w:szCs w:val="32"/>
        </w:rPr>
        <w:t>万元。项目支出</w:t>
      </w:r>
      <w:r>
        <w:rPr>
          <w:rFonts w:ascii="仿宋" w:eastAsia="仿宋" w:hAnsi="仿宋"/>
          <w:sz w:val="32"/>
          <w:szCs w:val="32"/>
        </w:rPr>
        <w:t>0.48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E6724A" w:rsidRDefault="00E6724A" w:rsidP="00BF27F5">
      <w:pPr>
        <w:spacing w:after="0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（二）机关运行经费预算的内容</w:t>
      </w:r>
    </w:p>
    <w:p w:rsidR="00E6724A" w:rsidRDefault="00E6724A" w:rsidP="00BF27F5">
      <w:pPr>
        <w:spacing w:after="0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行政经费由基本支出和一般行政支出两部分组成；</w:t>
      </w:r>
    </w:p>
    <w:p w:rsidR="00E6724A" w:rsidRDefault="00E6724A" w:rsidP="00BF27F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基本支出，包括两部分；一部分是人员经费，具体包括工资、津贴及奖金、医疗费、住房补贴等；二是公用经费，具体包括办公及印刷费、水电费、邮电费、交通费、差旅费、会议费、福利费、物业管理费、日常维修费、一般购置费等。</w:t>
      </w:r>
    </w:p>
    <w:p w:rsidR="00E6724A" w:rsidRDefault="00E6724A">
      <w:pPr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2.</w:t>
      </w:r>
      <w:r>
        <w:rPr>
          <w:rFonts w:ascii="仿宋" w:eastAsia="仿宋" w:hAnsi="仿宋" w:hint="eastAsia"/>
          <w:sz w:val="32"/>
          <w:szCs w:val="32"/>
        </w:rPr>
        <w:t>一般行政管理项目支出，包括招待费、会议费、购置费（包括设备、计算机等）、专用材料费、干部培训费、信息网络运行维护费等用于一般行政管理事务方面的项目支出。</w:t>
      </w:r>
    </w:p>
    <w:p w:rsidR="00E6724A" w:rsidRDefault="00E6724A" w:rsidP="00BF27F5">
      <w:pPr>
        <w:ind w:firstLineChars="196" w:firstLine="316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七、政府采购情况说明</w:t>
      </w:r>
    </w:p>
    <w:p w:rsidR="00E6724A" w:rsidRDefault="00E6724A" w:rsidP="00BF27F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日，朗县商务局没有进行过政府采购。</w:t>
      </w:r>
    </w:p>
    <w:p w:rsidR="00E6724A" w:rsidRDefault="00E6724A" w:rsidP="00BF27F5">
      <w:pPr>
        <w:spacing w:line="220" w:lineRule="atLeast"/>
        <w:ind w:firstLineChars="200" w:firstLine="3168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八、国有资产占有使用情况</w:t>
      </w:r>
    </w:p>
    <w:p w:rsidR="00E6724A" w:rsidRDefault="00E6724A" w:rsidP="00BF27F5">
      <w:pPr>
        <w:spacing w:line="220" w:lineRule="atLeas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朗县商务局没有公共用车、大型设备。</w:t>
      </w:r>
    </w:p>
    <w:p w:rsidR="00E6724A" w:rsidRDefault="00E6724A" w:rsidP="00BF27F5">
      <w:pPr>
        <w:numPr>
          <w:ilvl w:val="0"/>
          <w:numId w:val="2"/>
        </w:numPr>
        <w:spacing w:line="220" w:lineRule="atLeast"/>
        <w:ind w:firstLineChars="200" w:firstLine="3168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重点、重大项目评价结果等预算绩效管理工作开展情况说明。</w:t>
      </w:r>
    </w:p>
    <w:p w:rsidR="00E6724A" w:rsidRDefault="00E6724A">
      <w:pPr>
        <w:spacing w:line="220" w:lineRule="atLeas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没有重大项目建设，没有开展预算绩效评价工作。</w:t>
      </w:r>
      <w:bookmarkStart w:id="0" w:name="_GoBack"/>
      <w:bookmarkEnd w:id="0"/>
    </w:p>
    <w:p w:rsidR="00E6724A" w:rsidRDefault="00E6724A">
      <w:pPr>
        <w:spacing w:line="220" w:lineRule="atLeast"/>
        <w:rPr>
          <w:rFonts w:ascii="仿宋" w:eastAsia="仿宋" w:hAnsi="仿宋" w:cs="仿宋"/>
          <w:color w:val="000000"/>
          <w:sz w:val="32"/>
          <w:szCs w:val="32"/>
        </w:rPr>
      </w:pPr>
    </w:p>
    <w:p w:rsidR="00E6724A" w:rsidRDefault="00E6724A">
      <w:pPr>
        <w:spacing w:line="220" w:lineRule="atLeast"/>
        <w:rPr>
          <w:rFonts w:ascii="仿宋" w:eastAsia="仿宋" w:hAnsi="仿宋" w:cs="仿宋"/>
          <w:color w:val="000000"/>
          <w:sz w:val="32"/>
          <w:szCs w:val="32"/>
        </w:rPr>
      </w:pPr>
    </w:p>
    <w:p w:rsidR="00E6724A" w:rsidRDefault="00E6724A">
      <w:pPr>
        <w:numPr>
          <w:ilvl w:val="0"/>
          <w:numId w:val="3"/>
        </w:numPr>
        <w:spacing w:line="220" w:lineRule="atLeas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名词解释</w:t>
      </w:r>
    </w:p>
    <w:p w:rsidR="00E6724A" w:rsidRDefault="00E6724A" w:rsidP="00BF27F5">
      <w:pPr>
        <w:numPr>
          <w:ilvl w:val="0"/>
          <w:numId w:val="4"/>
        </w:numPr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财政拨款收入，指中央财政当年拨付的资金。</w:t>
      </w:r>
    </w:p>
    <w:p w:rsidR="00E6724A" w:rsidRDefault="00E6724A" w:rsidP="00BF27F5">
      <w:pPr>
        <w:numPr>
          <w:ilvl w:val="0"/>
          <w:numId w:val="4"/>
        </w:numPr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其他收入，指上述“财政拨款收入”以外的收入，主要是按规定动用的售房收入，存款利息收入等。</w:t>
      </w:r>
    </w:p>
    <w:p w:rsidR="00E6724A" w:rsidRDefault="00E6724A" w:rsidP="00E44D15">
      <w:pPr>
        <w:numPr>
          <w:ilvl w:val="0"/>
          <w:numId w:val="4"/>
        </w:numPr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上年结转，指以前年度尚未完成、结转到本年度仍按原规定用途继续使用的资金。</w:t>
      </w:r>
    </w:p>
    <w:sectPr w:rsidR="00E6724A" w:rsidSect="00013AF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4A" w:rsidRDefault="00E6724A" w:rsidP="00013AF6">
      <w:pPr>
        <w:spacing w:after="0"/>
      </w:pPr>
      <w:r>
        <w:separator/>
      </w:r>
    </w:p>
  </w:endnote>
  <w:endnote w:type="continuationSeparator" w:id="0">
    <w:p w:rsidR="00E6724A" w:rsidRDefault="00E6724A" w:rsidP="00013A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仿宋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4A" w:rsidRDefault="00E6724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6724A" w:rsidRDefault="00E6724A">
                <w:pPr>
                  <w:rPr>
                    <w:sz w:val="18"/>
                  </w:rPr>
                </w:pPr>
                <w:fldSimple w:instr=" PAGE  \* MERGEFORMAT ">
                  <w:r w:rsidRPr="00BF27F5">
                    <w:rPr>
                      <w:noProof/>
                      <w:sz w:val="18"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4A" w:rsidRDefault="00E6724A" w:rsidP="00013AF6">
      <w:pPr>
        <w:spacing w:after="0"/>
      </w:pPr>
      <w:r>
        <w:separator/>
      </w:r>
    </w:p>
  </w:footnote>
  <w:footnote w:type="continuationSeparator" w:id="0">
    <w:p w:rsidR="00E6724A" w:rsidRDefault="00E6724A" w:rsidP="00013A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C8DD7E"/>
    <w:multiLevelType w:val="singleLevel"/>
    <w:tmpl w:val="DAC8DD7E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136C2B2"/>
    <w:multiLevelType w:val="singleLevel"/>
    <w:tmpl w:val="0136C2B2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93757AF"/>
    <w:multiLevelType w:val="singleLevel"/>
    <w:tmpl w:val="193757AF"/>
    <w:lvl w:ilvl="0">
      <w:start w:val="4"/>
      <w:numFmt w:val="chineseCounting"/>
      <w:suff w:val="space"/>
      <w:lvlText w:val="第%1部分"/>
      <w:lvlJc w:val="left"/>
      <w:rPr>
        <w:rFonts w:cs="Times New Roman" w:hint="eastAsia"/>
      </w:rPr>
    </w:lvl>
  </w:abstractNum>
  <w:abstractNum w:abstractNumId="3">
    <w:nsid w:val="71A68515"/>
    <w:multiLevelType w:val="singleLevel"/>
    <w:tmpl w:val="71A6851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AF6"/>
    <w:rsid w:val="00037FB6"/>
    <w:rsid w:val="00323B43"/>
    <w:rsid w:val="003D37D8"/>
    <w:rsid w:val="00426133"/>
    <w:rsid w:val="004358AB"/>
    <w:rsid w:val="008B7726"/>
    <w:rsid w:val="00A2482B"/>
    <w:rsid w:val="00BF27F5"/>
    <w:rsid w:val="00D31D50"/>
    <w:rsid w:val="00E44D15"/>
    <w:rsid w:val="00E6724A"/>
    <w:rsid w:val="00F37952"/>
    <w:rsid w:val="01373F97"/>
    <w:rsid w:val="033E075E"/>
    <w:rsid w:val="037C7DF3"/>
    <w:rsid w:val="05591AC0"/>
    <w:rsid w:val="0682759F"/>
    <w:rsid w:val="0CD12AA4"/>
    <w:rsid w:val="105B079D"/>
    <w:rsid w:val="16470F52"/>
    <w:rsid w:val="2187293D"/>
    <w:rsid w:val="22B868D6"/>
    <w:rsid w:val="24104EC3"/>
    <w:rsid w:val="24322AC8"/>
    <w:rsid w:val="24FC7DD4"/>
    <w:rsid w:val="269E56DB"/>
    <w:rsid w:val="2F66500F"/>
    <w:rsid w:val="32893333"/>
    <w:rsid w:val="36B72C32"/>
    <w:rsid w:val="39FA3BE2"/>
    <w:rsid w:val="3D6F2FB8"/>
    <w:rsid w:val="426B01EA"/>
    <w:rsid w:val="443C4CD0"/>
    <w:rsid w:val="46040FC3"/>
    <w:rsid w:val="4A1706D7"/>
    <w:rsid w:val="4A755FFB"/>
    <w:rsid w:val="4C5F7D0F"/>
    <w:rsid w:val="4CDF1545"/>
    <w:rsid w:val="506B412D"/>
    <w:rsid w:val="51130223"/>
    <w:rsid w:val="513F7194"/>
    <w:rsid w:val="55D423B1"/>
    <w:rsid w:val="5616549E"/>
    <w:rsid w:val="5BDF2D76"/>
    <w:rsid w:val="5BE138A2"/>
    <w:rsid w:val="692D7572"/>
    <w:rsid w:val="694713A8"/>
    <w:rsid w:val="6A9B7F4D"/>
    <w:rsid w:val="6C2116D3"/>
    <w:rsid w:val="6D6073BE"/>
    <w:rsid w:val="6D896055"/>
    <w:rsid w:val="7D2366A0"/>
    <w:rsid w:val="7D695460"/>
    <w:rsid w:val="7F4A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F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3A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77DE"/>
    <w:rPr>
      <w:rFonts w:ascii="Tahoma" w:eastAsia="微软雅黑" w:hAnsi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3A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77DE"/>
    <w:rPr>
      <w:rFonts w:ascii="Tahoma" w:eastAsia="微软雅黑" w:hAnsi="Tahoma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013AF6"/>
    <w:rPr>
      <w:rFonts w:cs="Times New Roman"/>
    </w:rPr>
  </w:style>
  <w:style w:type="character" w:customStyle="1" w:styleId="contentcss1">
    <w:name w:val="contentcss1"/>
    <w:basedOn w:val="DefaultParagraphFont"/>
    <w:uiPriority w:val="99"/>
    <w:rsid w:val="00013A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478</Words>
  <Characters>2726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cp:lastPrinted>2019-08-29T02:00:00Z</cp:lastPrinted>
  <dcterms:created xsi:type="dcterms:W3CDTF">2008-09-11T17:20:00Z</dcterms:created>
  <dcterms:modified xsi:type="dcterms:W3CDTF">2019-08-29T04:06:00Z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