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eastAsia="黑体"/>
          <w:b/>
          <w:sz w:val="52"/>
          <w:szCs w:val="52"/>
        </w:rPr>
      </w:pPr>
    </w:p>
    <w:p>
      <w:pPr>
        <w:spacing w:line="640" w:lineRule="exact"/>
        <w:jc w:val="center"/>
        <w:rPr>
          <w:rFonts w:ascii="黑体" w:eastAsia="黑体"/>
          <w:b/>
          <w:sz w:val="52"/>
          <w:szCs w:val="52"/>
        </w:rPr>
      </w:pPr>
    </w:p>
    <w:p>
      <w:pPr>
        <w:spacing w:line="640" w:lineRule="exact"/>
        <w:jc w:val="center"/>
        <w:rPr>
          <w:rFonts w:ascii="黑体" w:hAnsi="黑体" w:eastAsia="黑体" w:cs="黑体"/>
          <w:b/>
          <w:sz w:val="52"/>
          <w:szCs w:val="52"/>
        </w:rPr>
      </w:pPr>
      <w:r>
        <w:rPr>
          <w:rFonts w:hint="eastAsia" w:ascii="黑体" w:hAnsi="黑体" w:eastAsia="黑体" w:cs="黑体"/>
          <w:b/>
          <w:sz w:val="52"/>
          <w:szCs w:val="52"/>
        </w:rPr>
        <w:t>朗县住房和城乡建设局2021年度</w:t>
      </w:r>
    </w:p>
    <w:p>
      <w:pPr>
        <w:spacing w:line="640" w:lineRule="exact"/>
        <w:jc w:val="center"/>
        <w:rPr>
          <w:rFonts w:ascii="黑体" w:hAnsi="黑体" w:eastAsia="黑体" w:cs="黑体"/>
          <w:b/>
          <w:sz w:val="52"/>
          <w:szCs w:val="52"/>
        </w:rPr>
      </w:pPr>
      <w:r>
        <w:rPr>
          <w:rFonts w:hint="eastAsia" w:ascii="黑体" w:hAnsi="黑体" w:eastAsia="黑体" w:cs="黑体"/>
          <w:b/>
          <w:sz w:val="52"/>
          <w:szCs w:val="52"/>
        </w:rPr>
        <w:t>部门决算</w:t>
      </w:r>
    </w:p>
    <w:p>
      <w:pPr>
        <w:rPr>
          <w:rFonts w:ascii="黑体" w:hAnsi="黑体" w:eastAsia="黑体" w:cs="黑体"/>
          <w:sz w:val="44"/>
          <w:szCs w:val="44"/>
        </w:rPr>
      </w:pPr>
    </w:p>
    <w:p>
      <w:pPr>
        <w:rPr>
          <w:rFonts w:ascii="黑体" w:hAnsi="黑体" w:eastAsia="黑体" w:cs="黑体"/>
          <w:sz w:val="44"/>
          <w:szCs w:val="44"/>
        </w:rPr>
      </w:pPr>
    </w:p>
    <w:p>
      <w:pPr>
        <w:rPr>
          <w:sz w:val="44"/>
          <w:szCs w:val="44"/>
        </w:rPr>
      </w:pPr>
    </w:p>
    <w:p>
      <w:pPr>
        <w:rPr>
          <w:sz w:val="44"/>
          <w:szCs w:val="44"/>
        </w:rPr>
      </w:pPr>
    </w:p>
    <w:p>
      <w:pPr>
        <w:rPr>
          <w:sz w:val="44"/>
          <w:szCs w:val="44"/>
        </w:rPr>
      </w:pPr>
    </w:p>
    <w:p>
      <w:pPr>
        <w:rPr>
          <w:sz w:val="44"/>
          <w:szCs w:val="44"/>
        </w:rPr>
      </w:pPr>
    </w:p>
    <w:p>
      <w:pPr>
        <w:jc w:val="center"/>
        <w:rPr>
          <w:rFonts w:ascii="宋体" w:hAnsi="宋体"/>
          <w:sz w:val="32"/>
          <w:szCs w:val="32"/>
          <w:u w:val="single"/>
        </w:rPr>
      </w:pPr>
      <w:r>
        <w:rPr>
          <w:rFonts w:hint="eastAsia" w:ascii="宋体" w:hAnsi="宋体"/>
          <w:sz w:val="32"/>
          <w:szCs w:val="32"/>
          <w:u w:val="single"/>
        </w:rPr>
        <w:t>2021</w:t>
      </w:r>
      <w:r>
        <w:rPr>
          <w:rFonts w:hint="eastAsia" w:ascii="宋体" w:hAnsi="宋体"/>
          <w:sz w:val="32"/>
          <w:szCs w:val="32"/>
        </w:rPr>
        <w:t xml:space="preserve">年 </w:t>
      </w:r>
      <w:r>
        <w:rPr>
          <w:rFonts w:hint="eastAsia" w:ascii="宋体" w:hAnsi="宋体"/>
          <w:sz w:val="32"/>
          <w:szCs w:val="32"/>
          <w:u w:val="single"/>
        </w:rPr>
        <w:t>9</w:t>
      </w:r>
      <w:r>
        <w:rPr>
          <w:rFonts w:hint="eastAsia" w:ascii="宋体" w:hAnsi="宋体"/>
          <w:sz w:val="32"/>
          <w:szCs w:val="32"/>
        </w:rPr>
        <w:t>月</w:t>
      </w:r>
      <w:r>
        <w:rPr>
          <w:rFonts w:hint="eastAsia" w:ascii="宋体" w:hAnsi="宋体"/>
          <w:sz w:val="32"/>
          <w:szCs w:val="32"/>
          <w:u w:val="single"/>
        </w:rPr>
        <w:t xml:space="preserve">  30 日</w:t>
      </w:r>
    </w:p>
    <w:p>
      <w:pPr>
        <w:spacing w:line="460" w:lineRule="exact"/>
        <w:jc w:val="center"/>
        <w:rPr>
          <w:rFonts w:ascii="宋体" w:hAnsi="宋体"/>
          <w:b/>
          <w:sz w:val="40"/>
          <w:szCs w:val="40"/>
        </w:rPr>
      </w:pPr>
    </w:p>
    <w:p>
      <w:pPr>
        <w:spacing w:line="460" w:lineRule="exact"/>
        <w:jc w:val="center"/>
        <w:rPr>
          <w:rFonts w:ascii="宋体" w:hAnsi="宋体"/>
          <w:b/>
          <w:sz w:val="40"/>
          <w:szCs w:val="40"/>
        </w:rPr>
      </w:pPr>
    </w:p>
    <w:p>
      <w:pPr>
        <w:spacing w:line="460" w:lineRule="exact"/>
        <w:jc w:val="center"/>
        <w:rPr>
          <w:rFonts w:ascii="宋体" w:hAnsi="宋体"/>
          <w:b/>
          <w:sz w:val="40"/>
          <w:szCs w:val="40"/>
        </w:rPr>
      </w:pPr>
      <w:r>
        <w:rPr>
          <w:rFonts w:hint="eastAsia" w:ascii="宋体" w:hAnsi="宋体"/>
          <w:b/>
          <w:sz w:val="40"/>
          <w:szCs w:val="40"/>
        </w:rPr>
        <w:t>目  录</w:t>
      </w:r>
    </w:p>
    <w:p>
      <w:pPr>
        <w:spacing w:beforeLines="100" w:afterLines="100" w:line="460" w:lineRule="exact"/>
        <w:rPr>
          <w:rFonts w:ascii="黑体" w:hAnsi="宋体" w:eastAsia="黑体"/>
          <w:sz w:val="32"/>
          <w:szCs w:val="32"/>
        </w:rPr>
      </w:pPr>
      <w:r>
        <w:rPr>
          <w:rFonts w:hint="eastAsia" w:ascii="黑体" w:hAnsi="宋体" w:eastAsia="黑体"/>
          <w:sz w:val="32"/>
          <w:szCs w:val="32"/>
        </w:rPr>
        <w:t>第一部分  朗县住房和城乡建设局概况</w:t>
      </w:r>
    </w:p>
    <w:p>
      <w:pPr>
        <w:numPr>
          <w:ilvl w:val="0"/>
          <w:numId w:val="1"/>
        </w:num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部门决算单位构成</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二、部门职责和机构设置</w:t>
      </w:r>
    </w:p>
    <w:p>
      <w:pPr>
        <w:spacing w:beforeLines="100" w:afterLines="100" w:line="460" w:lineRule="exact"/>
        <w:rPr>
          <w:rFonts w:ascii="黑体" w:hAnsi="宋体" w:eastAsia="黑体"/>
          <w:sz w:val="32"/>
          <w:szCs w:val="32"/>
        </w:rPr>
      </w:pPr>
      <w:r>
        <w:rPr>
          <w:rFonts w:hint="eastAsia" w:ascii="黑体" w:hAnsi="宋体" w:eastAsia="黑体"/>
          <w:sz w:val="32"/>
          <w:szCs w:val="32"/>
        </w:rPr>
        <w:t>第二部分  朗县住房和城乡建设局2021年度部门决算明细表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一、收支决算总表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二、收入决算总表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三、支出决算总表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四、财政拨款收支决算总表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五、一般公共预算财政拨款支出决算表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六、一般公共预算财政拨款基本支出决算表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七、一般公共预算相关经费支出决算表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八、政府性基金预算财政拨款收支决算表</w:t>
      </w:r>
    </w:p>
    <w:p>
      <w:pPr>
        <w:spacing w:beforeLines="100" w:afterLines="100" w:line="460" w:lineRule="exact"/>
        <w:rPr>
          <w:rFonts w:ascii="黑体" w:hAnsi="宋体" w:eastAsia="黑体"/>
          <w:sz w:val="32"/>
          <w:szCs w:val="32"/>
        </w:rPr>
      </w:pPr>
      <w:r>
        <w:rPr>
          <w:rFonts w:hint="eastAsia" w:ascii="黑体" w:hAnsi="宋体" w:eastAsia="黑体"/>
          <w:sz w:val="32"/>
          <w:szCs w:val="32"/>
        </w:rPr>
        <w:t>第三部分  朗县住房和城乡建设局2021年度部门决算情况说明</w:t>
      </w:r>
    </w:p>
    <w:p>
      <w:pPr>
        <w:spacing w:beforeLines="100" w:afterLines="100" w:line="460" w:lineRule="exact"/>
        <w:rPr>
          <w:rFonts w:ascii="黑体" w:hAnsi="宋体" w:eastAsia="黑体"/>
          <w:sz w:val="32"/>
          <w:szCs w:val="32"/>
        </w:rPr>
      </w:pPr>
      <w:r>
        <w:rPr>
          <w:rFonts w:hint="eastAsia" w:ascii="黑体" w:hAnsi="宋体" w:eastAsia="黑体"/>
          <w:sz w:val="32"/>
          <w:szCs w:val="32"/>
        </w:rPr>
        <w:t>第四部分  名词解释</w:t>
      </w:r>
    </w:p>
    <w:p>
      <w:pPr>
        <w:spacing w:line="460" w:lineRule="exact"/>
        <w:rPr>
          <w:rFonts w:ascii="黑体" w:hAnsi="宋体" w:eastAsia="黑体"/>
          <w:sz w:val="44"/>
          <w:szCs w:val="44"/>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 xml:space="preserve">第一部分 </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朗县住房和城乡建设局概况</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朗县住房和城乡建设局成立于2010年2月，目前住建局有33名干部职工，包括临时工1名、公益性岗位18人，正式干部职工13人、援藏1名。</w:t>
      </w:r>
    </w:p>
    <w:p>
      <w:pPr>
        <w:rPr>
          <w:rFonts w:ascii="黑体" w:hAnsi="宋体" w:eastAsia="黑体"/>
          <w:b/>
          <w:bCs/>
          <w:sz w:val="32"/>
          <w:szCs w:val="32"/>
        </w:rPr>
      </w:pPr>
      <w:r>
        <w:rPr>
          <w:rFonts w:hint="eastAsia" w:ascii="黑体" w:hAnsi="宋体" w:eastAsia="黑体"/>
          <w:b/>
          <w:bCs/>
          <w:sz w:val="32"/>
          <w:szCs w:val="32"/>
        </w:rPr>
        <w:t>一、朗县住建局部门决算单位构成</w:t>
      </w:r>
    </w:p>
    <w:p>
      <w:pPr>
        <w:rPr>
          <w:rFonts w:ascii="仿宋" w:hAnsi="仿宋" w:eastAsia="仿宋" w:cs="仿宋_GB2312"/>
          <w:kern w:val="0"/>
          <w:sz w:val="32"/>
          <w:szCs w:val="32"/>
        </w:rPr>
      </w:pPr>
      <w:r>
        <w:rPr>
          <w:rFonts w:hint="eastAsia" w:ascii="方正仿宋简体" w:hAnsi="仿宋_GB2312" w:eastAsia="方正仿宋简体" w:cs="仿宋_GB2312"/>
          <w:kern w:val="0"/>
          <w:sz w:val="32"/>
          <w:szCs w:val="32"/>
        </w:rPr>
        <w:t xml:space="preserve">   </w:t>
      </w:r>
      <w:r>
        <w:rPr>
          <w:rFonts w:hint="eastAsia" w:ascii="仿宋" w:hAnsi="仿宋" w:eastAsia="仿宋" w:cs="仿宋_GB2312"/>
          <w:kern w:val="0"/>
          <w:sz w:val="32"/>
          <w:szCs w:val="32"/>
        </w:rPr>
        <w:t xml:space="preserve"> 朗县住房和城乡建设局下设副科级朗县工程质量监督检查站、副科级城市管理综合大队、股级环卫队。</w:t>
      </w:r>
    </w:p>
    <w:p>
      <w:pPr>
        <w:ind w:firstLine="643" w:firstLineChars="200"/>
        <w:rPr>
          <w:rFonts w:ascii="黑体" w:hAnsi="宋体" w:eastAsia="黑体"/>
          <w:b/>
          <w:bCs/>
          <w:sz w:val="32"/>
          <w:szCs w:val="32"/>
        </w:rPr>
      </w:pPr>
      <w:r>
        <w:rPr>
          <w:rFonts w:hint="eastAsia" w:ascii="黑体" w:hAnsi="宋体" w:eastAsia="黑体"/>
          <w:b/>
          <w:bCs/>
          <w:sz w:val="32"/>
          <w:szCs w:val="32"/>
        </w:rPr>
        <w:t>二、部门职责和机构设置</w:t>
      </w:r>
    </w:p>
    <w:p>
      <w:pPr>
        <w:ind w:firstLine="627" w:firstLineChars="196"/>
        <w:rPr>
          <w:rFonts w:ascii="方正仿宋简体" w:hAnsi="楷体" w:eastAsia="方正仿宋简体" w:cs="楷体"/>
          <w:sz w:val="32"/>
          <w:szCs w:val="32"/>
        </w:rPr>
      </w:pPr>
      <w:r>
        <w:rPr>
          <w:rFonts w:hint="eastAsia" w:ascii="方正仿宋简体" w:hAnsi="楷体" w:eastAsia="方正仿宋简体" w:cs="楷体"/>
          <w:sz w:val="32"/>
          <w:szCs w:val="32"/>
        </w:rPr>
        <w:t>（一）主要职责</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1、负责贯彻执行国家、自治区和市关于住房和城乡建设事业的方针政策和法规，综合管理全县工程建设、城市建设、村镇建设，组织实施全县建设执法监察和建设行政执法监督检查。</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负责朗县保障性住房的建设和管理。根据国家有关政策、法规及自治区建筑行业发展总体部署，结合朗县实际，研究制定工程建设、城乡建设、村镇建设、房地产的有关规定，产业政策、中长期规划和发展战略，并组织实施。</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3、培育发展朗县建筑市场、房地产市场，规范市场行为，发挥市场机制作用；贯彻工程建设实施阶段的国家标准、规范、全国统一定额和建设行业标准定额。</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4、协助有关部门联合制定县建设项目可行性研究经济评价方法、经济参数、投资估算、建设工期、建设用地指标和工程造价管理等。</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5、制定朗县工程建设设计、施工等制度综合监督管理建设工程的招投标和工程造价、工程合同、工程监理、工程质量。</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6、管理县城镇规划、勘察及市政工程测量工作；负责各乡镇总体规划的审查报批；管理城市建设档案。</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7、负贵房地产业的行业管理，指导房地产开发经营，房屋商品化工作，规范房地产市场；参与指导城镇土地使用权有偿转让，指导推进城镇住宅建设，负责制定住房制度改革方案和实施意见，并组织实施。</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8、指导全县村镇的规划建设工作，推进村镇发展建设。</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9、参与制定县行业科技发展规划，参与指导管理建筑技术引进工作；负责建筑节能的监督管理，指导新型建筑材料的推广使用。</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10、参与制定县建筑行业人才培养规划，加强职工队伍培训和继续教育；综合管理建筑抗震设防工作；负责建材产品质量的监督检查和在施工现场的准入管理，参与对建材市场和建筑构配件加工企业的资质管理、许可证管理和行业管理。</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11、承担推进朗县住房制度改革的责任和建设任务，执行廉租住房、周转房、经济适用住房等保障性住房规划政策及建设，会同有关部门做好朗县有关廉租住房资金安排并负责组织实施；编制县住房保障发展规划和年度计划并组织实施。</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12、拟订朗县风景名胜区的发展规划、并组织实施，协助相关部门做好国家级风景名胜区的申报工作；承担藏式传统建筑研究、保护、开发和利用工作。</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13、组织实施重大市政建设项目。</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14、承办县政府交办的其他事项。</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15、贯彻实施国家、自治区、地区有关工程质量的法律、法规、工程技术标准，管理和指导本县的工程质量监督和工程检测业务工作，开展相应的技术培训；</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16、组织开展本县建设工程质量检查，掌握本县工程质量状况，及时总结、交流和推广工程质量管理经验；按照国家及区、市制定的有关工程质量管理的法律法规和工程技术标准，对受监工程建设各方责任主体及有关机构履行质量职责情况和工程实物质量情况进行监督检查；向工程备案管理机构提交工程质量监督报告；负责本县房屋建筑工程和市政基础设施工程竣工验收备案管理工作；对工程参建各方责任主体和有关机构质量信誉进行管理；</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17、对责任主体和有关机构违法、违规行为进行调查取证和核实，提出处罚建议或按委托权限对违法违规行为实施行政处罚；组织开展本县工程质量问题的技术鉴定；</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18、参与本县重大质量事故的调查处理，组织县优质工程的核验评审，推荐本县优质工程；负责对施工方、监理方、建设方在执行法律法规和工程建设强制性标准的情况进行监督检查；抽查工程质量责任主体和质量检测等单位的工程质量行为；抽查主要建筑材料和建筑结构、配件的质量；</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19、负责工程竣工验收；监督组织或参与工程质量事故的调查处理定期对本县工程质量状况进行统计分析；负责依法对违法违规行为实施处罚，受理工程安全监督，对施工现场工程建设各方主体的质量安全行为进行监督检查，并负责建设工程施工现场安全生产专项检查的组织协调工作；参与建设工程安全事故的调查及突发事件的应急处理；</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负责工程监理工作的指导与协调，负责工程质量监督与检测工作；对设计深度进行监督检查，负责建设项目的验收，对重大质量事故的调查处理；负责本县城市基础设施、房屋建筑项目建设中的组织协调和监督；</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21、指导规范本县建筑市场，拟订规范建筑市场各方主体的市场行为以及工程招投标、建设监理、建筑安全生产、建筑工程质量、合同管理和工程风险管理的规章制度，并监督执行组织或参与工程重要质量、安全事故的调查处理；</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22、负责各类房屋建筑及附属设施的制造和与其配套的线路管道和设备的安装项目的招投标活动的监督执法；指导和监督本县有形建筑市场；负责本县建筑质量监督站在监工程结构、地基、构件及其原材料的检验；负责本县工程施工及建设单位的委托检验。</w:t>
      </w:r>
    </w:p>
    <w:p>
      <w:pPr>
        <w:ind w:firstLine="640" w:firstLineChars="20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（二）部门机构设置</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朗县住房和城乡建设局下设质监站、城管大队、环卫队。截止12月底，我局在职干部职工14人，公益性18人,临时工1人。</w:t>
      </w:r>
    </w:p>
    <w:p>
      <w:pPr>
        <w:ind w:firstLine="640" w:firstLineChars="200"/>
        <w:rPr>
          <w:rFonts w:ascii="仿宋" w:hAnsi="仿宋" w:eastAsia="仿宋" w:cs="仿宋_GB2312"/>
          <w:kern w:val="0"/>
          <w:sz w:val="32"/>
          <w:szCs w:val="32"/>
        </w:rPr>
      </w:pPr>
    </w:p>
    <w:p>
      <w:pPr>
        <w:ind w:firstLine="640" w:firstLineChars="200"/>
        <w:rPr>
          <w:rFonts w:ascii="方正仿宋简体" w:hAnsi="仿宋_GB2312" w:eastAsia="方正仿宋简体" w:cs="仿宋_GB2312"/>
          <w:kern w:val="0"/>
          <w:sz w:val="32"/>
          <w:szCs w:val="32"/>
        </w:rPr>
      </w:pPr>
    </w:p>
    <w:p>
      <w:pPr>
        <w:ind w:firstLine="640" w:firstLineChars="200"/>
        <w:rPr>
          <w:rFonts w:ascii="方正仿宋简体" w:hAnsi="仿宋_GB2312" w:eastAsia="方正仿宋简体" w:cs="仿宋_GB2312"/>
          <w:kern w:val="0"/>
          <w:sz w:val="32"/>
          <w:szCs w:val="32"/>
        </w:rPr>
      </w:pPr>
    </w:p>
    <w:p>
      <w:pPr>
        <w:ind w:firstLine="640" w:firstLineChars="200"/>
        <w:rPr>
          <w:rFonts w:ascii="方正仿宋简体" w:hAnsi="仿宋_GB2312" w:eastAsia="方正仿宋简体" w:cs="仿宋_GB2312"/>
          <w:kern w:val="0"/>
          <w:sz w:val="32"/>
          <w:szCs w:val="32"/>
        </w:rPr>
      </w:pPr>
    </w:p>
    <w:p>
      <w:pPr>
        <w:ind w:firstLine="640" w:firstLineChars="200"/>
        <w:rPr>
          <w:rFonts w:ascii="方正仿宋简体" w:hAnsi="仿宋_GB2312" w:eastAsia="方正仿宋简体" w:cs="仿宋_GB2312"/>
          <w:kern w:val="0"/>
          <w:sz w:val="32"/>
          <w:szCs w:val="32"/>
        </w:rPr>
      </w:pPr>
    </w:p>
    <w:p>
      <w:pPr>
        <w:ind w:firstLine="640" w:firstLineChars="200"/>
        <w:rPr>
          <w:rFonts w:ascii="方正仿宋简体" w:hAnsi="仿宋_GB2312" w:eastAsia="方正仿宋简体" w:cs="仿宋_GB2312"/>
          <w:kern w:val="0"/>
          <w:sz w:val="32"/>
          <w:szCs w:val="32"/>
        </w:rPr>
      </w:pPr>
    </w:p>
    <w:p>
      <w:pPr>
        <w:ind w:firstLine="640" w:firstLineChars="200"/>
        <w:rPr>
          <w:rFonts w:ascii="方正仿宋简体" w:hAnsi="仿宋_GB2312" w:eastAsia="方正仿宋简体" w:cs="仿宋_GB2312"/>
          <w:kern w:val="0"/>
          <w:sz w:val="32"/>
          <w:szCs w:val="32"/>
        </w:rPr>
      </w:pPr>
    </w:p>
    <w:p>
      <w:pPr>
        <w:rPr>
          <w:rFonts w:ascii="方正仿宋简体" w:hAnsi="仿宋_GB2312" w:eastAsia="方正仿宋简体" w:cs="仿宋_GB2312"/>
          <w:kern w:val="0"/>
          <w:sz w:val="32"/>
          <w:szCs w:val="32"/>
        </w:rPr>
      </w:pPr>
    </w:p>
    <w:p>
      <w:pPr>
        <w:jc w:val="center"/>
        <w:rPr>
          <w:rFonts w:ascii="黑体" w:hAnsi="黑体" w:eastAsia="黑体" w:cs="黑体"/>
          <w:kern w:val="0"/>
          <w:sz w:val="48"/>
          <w:szCs w:val="48"/>
        </w:rPr>
      </w:pPr>
    </w:p>
    <w:p>
      <w:pPr>
        <w:rPr>
          <w:rFonts w:ascii="黑体" w:hAnsi="黑体" w:eastAsia="黑体" w:cs="黑体"/>
          <w:kern w:val="0"/>
          <w:sz w:val="48"/>
          <w:szCs w:val="48"/>
        </w:rPr>
      </w:pPr>
    </w:p>
    <w:p>
      <w:pPr>
        <w:rPr>
          <w:rFonts w:ascii="黑体" w:hAnsi="黑体" w:eastAsia="黑体" w:cs="黑体"/>
          <w:kern w:val="0"/>
          <w:sz w:val="48"/>
          <w:szCs w:val="48"/>
        </w:rPr>
      </w:pPr>
    </w:p>
    <w:p>
      <w:pPr>
        <w:jc w:val="center"/>
        <w:rPr>
          <w:rFonts w:ascii="黑体" w:hAnsi="黑体" w:eastAsia="黑体" w:cs="黑体"/>
          <w:kern w:val="0"/>
          <w:sz w:val="48"/>
          <w:szCs w:val="48"/>
        </w:rPr>
      </w:pPr>
    </w:p>
    <w:p>
      <w:pPr>
        <w:jc w:val="center"/>
        <w:rPr>
          <w:rFonts w:ascii="黑体" w:hAnsi="黑体" w:eastAsia="黑体" w:cs="黑体"/>
          <w:kern w:val="0"/>
          <w:sz w:val="48"/>
          <w:szCs w:val="48"/>
        </w:rPr>
      </w:pPr>
      <w:r>
        <w:rPr>
          <w:rFonts w:hint="eastAsia" w:ascii="黑体" w:hAnsi="黑体" w:eastAsia="黑体" w:cs="黑体"/>
          <w:kern w:val="0"/>
          <w:sz w:val="48"/>
          <w:szCs w:val="48"/>
        </w:rPr>
        <w:t>第二部分</w:t>
      </w:r>
    </w:p>
    <w:p>
      <w:pPr>
        <w:ind w:firstLine="640" w:firstLineChars="200"/>
        <w:rPr>
          <w:rFonts w:ascii="方正仿宋简体" w:hAnsi="仿宋_GB2312" w:eastAsia="方正仿宋简体" w:cs="仿宋_GB2312"/>
          <w:kern w:val="0"/>
          <w:sz w:val="32"/>
          <w:szCs w:val="32"/>
        </w:rPr>
      </w:pPr>
    </w:p>
    <w:p>
      <w:pPr>
        <w:jc w:val="center"/>
        <w:rPr>
          <w:rFonts w:ascii="黑体" w:hAnsi="黑体" w:eastAsia="黑体" w:cs="黑体"/>
          <w:kern w:val="0"/>
          <w:sz w:val="48"/>
          <w:szCs w:val="48"/>
        </w:rPr>
      </w:pPr>
      <w:r>
        <w:rPr>
          <w:rFonts w:hint="eastAsia" w:ascii="黑体" w:hAnsi="黑体" w:eastAsia="黑体" w:cs="黑体"/>
          <w:kern w:val="0"/>
          <w:sz w:val="48"/>
          <w:szCs w:val="48"/>
        </w:rPr>
        <w:t>朗县住房和城乡建设局2021年度决算</w:t>
      </w:r>
    </w:p>
    <w:p>
      <w:pPr>
        <w:jc w:val="center"/>
        <w:rPr>
          <w:rFonts w:ascii="黑体" w:hAnsi="黑体" w:eastAsia="黑体" w:cs="黑体"/>
          <w:kern w:val="0"/>
          <w:sz w:val="48"/>
          <w:szCs w:val="48"/>
        </w:rPr>
      </w:pPr>
      <w:r>
        <w:rPr>
          <w:rFonts w:hint="eastAsia" w:ascii="黑体" w:hAnsi="黑体" w:eastAsia="黑体" w:cs="黑体"/>
          <w:kern w:val="0"/>
          <w:sz w:val="48"/>
          <w:szCs w:val="48"/>
        </w:rPr>
        <w:t>明细表</w:t>
      </w:r>
    </w:p>
    <w:p>
      <w:pPr>
        <w:jc w:val="center"/>
        <w:rPr>
          <w:rFonts w:ascii="黑体" w:hAnsi="黑体" w:eastAsia="黑体" w:cs="仿宋_GB2312"/>
          <w:kern w:val="0"/>
          <w:sz w:val="32"/>
          <w:szCs w:val="32"/>
        </w:rPr>
      </w:pPr>
      <w:r>
        <w:rPr>
          <w:rFonts w:hint="eastAsia" w:ascii="黑体" w:hAnsi="黑体" w:eastAsia="黑体" w:cs="仿宋_GB2312"/>
          <w:kern w:val="0"/>
          <w:sz w:val="32"/>
          <w:szCs w:val="32"/>
        </w:rPr>
        <w:t>(见附表1-8)</w:t>
      </w:r>
    </w:p>
    <w:p>
      <w:pPr>
        <w:ind w:firstLine="640" w:firstLineChars="200"/>
        <w:rPr>
          <w:rFonts w:ascii="方正仿宋简体" w:hAnsi="仿宋_GB2312" w:eastAsia="方正仿宋简体" w:cs="仿宋_GB2312"/>
          <w:kern w:val="0"/>
          <w:sz w:val="32"/>
          <w:szCs w:val="32"/>
        </w:rPr>
      </w:pPr>
    </w:p>
    <w:p>
      <w:pPr>
        <w:ind w:firstLine="640" w:firstLineChars="200"/>
        <w:rPr>
          <w:rFonts w:ascii="方正仿宋简体" w:hAnsi="仿宋_GB2312" w:eastAsia="方正仿宋简体" w:cs="仿宋_GB2312"/>
          <w:kern w:val="0"/>
          <w:sz w:val="32"/>
          <w:szCs w:val="32"/>
        </w:rPr>
      </w:pPr>
    </w:p>
    <w:p>
      <w:pPr>
        <w:ind w:firstLine="640" w:firstLineChars="200"/>
        <w:rPr>
          <w:rFonts w:ascii="方正仿宋简体" w:hAnsi="仿宋_GB2312" w:eastAsia="方正仿宋简体" w:cs="仿宋_GB2312"/>
          <w:kern w:val="0"/>
          <w:sz w:val="32"/>
          <w:szCs w:val="32"/>
        </w:rPr>
      </w:pPr>
    </w:p>
    <w:p>
      <w:pPr>
        <w:jc w:val="left"/>
        <w:rPr>
          <w:rFonts w:ascii="方正仿宋简体" w:hAnsi="仿宋_GB2312" w:eastAsia="方正仿宋简体" w:cs="仿宋_GB2312"/>
          <w:kern w:val="0"/>
          <w:sz w:val="32"/>
          <w:szCs w:val="32"/>
        </w:rPr>
      </w:pPr>
    </w:p>
    <w:p>
      <w:pPr>
        <w:rPr>
          <w:rFonts w:ascii="方正仿宋简体" w:hAnsi="仿宋_GB2312" w:eastAsia="方正仿宋简体" w:cs="仿宋_GB2312"/>
          <w:kern w:val="0"/>
          <w:sz w:val="32"/>
          <w:szCs w:val="32"/>
        </w:rPr>
      </w:pPr>
    </w:p>
    <w:p>
      <w:pPr>
        <w:widowControl/>
        <w:rPr>
          <w:rFonts w:ascii="黑体" w:hAnsi="宋体" w:eastAsia="黑体"/>
          <w:sz w:val="48"/>
          <w:szCs w:val="48"/>
        </w:rPr>
      </w:pPr>
    </w:p>
    <w:p>
      <w:pPr>
        <w:jc w:val="left"/>
        <w:rPr>
          <w:rFonts w:ascii="黑体" w:hAnsi="宋体" w:eastAsia="黑体"/>
          <w:sz w:val="48"/>
          <w:szCs w:val="48"/>
        </w:rPr>
      </w:pPr>
    </w:p>
    <w:p>
      <w:pPr>
        <w:jc w:val="left"/>
        <w:rPr>
          <w:rFonts w:ascii="黑体" w:hAnsi="宋体" w:eastAsia="黑体"/>
          <w:sz w:val="48"/>
          <w:szCs w:val="48"/>
        </w:rPr>
      </w:pPr>
    </w:p>
    <w:p>
      <w:pPr>
        <w:jc w:val="left"/>
        <w:rPr>
          <w:rFonts w:ascii="黑体" w:hAnsi="宋体" w:eastAsia="黑体"/>
          <w:sz w:val="48"/>
          <w:szCs w:val="48"/>
        </w:rPr>
      </w:pPr>
      <w:r>
        <w:rPr>
          <w:szCs w:val="48"/>
        </w:rPr>
        <w:drawing>
          <wp:inline distT="0" distB="0" distL="0" distR="0">
            <wp:extent cx="7814310" cy="61309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7826000" cy="6140047"/>
                    </a:xfrm>
                    <a:prstGeom prst="rect">
                      <a:avLst/>
                    </a:prstGeom>
                    <a:noFill/>
                    <a:ln w="9525">
                      <a:noFill/>
                      <a:miter lim="800000"/>
                      <a:headEnd/>
                      <a:tailEnd/>
                    </a:ln>
                  </pic:spPr>
                </pic:pic>
              </a:graphicData>
            </a:graphic>
          </wp:inline>
        </w:drawing>
      </w:r>
    </w:p>
    <w:p>
      <w:pPr>
        <w:jc w:val="left"/>
        <w:rPr>
          <w:rFonts w:ascii="黑体" w:hAnsi="宋体" w:eastAsia="黑体"/>
          <w:sz w:val="48"/>
          <w:szCs w:val="48"/>
        </w:rPr>
      </w:pPr>
      <w:r>
        <w:rPr>
          <w:szCs w:val="48"/>
        </w:rPr>
        <w:drawing>
          <wp:inline distT="0" distB="0" distL="0" distR="0">
            <wp:extent cx="8863330" cy="553847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8863330" cy="5538806"/>
                    </a:xfrm>
                    <a:prstGeom prst="rect">
                      <a:avLst/>
                    </a:prstGeom>
                    <a:noFill/>
                    <a:ln w="9525">
                      <a:noFill/>
                      <a:miter lim="800000"/>
                      <a:headEnd/>
                      <a:tailEnd/>
                    </a:ln>
                  </pic:spPr>
                </pic:pic>
              </a:graphicData>
            </a:graphic>
          </wp:inline>
        </w:drawing>
      </w:r>
    </w:p>
    <w:p>
      <w:pPr>
        <w:jc w:val="left"/>
        <w:rPr>
          <w:rFonts w:ascii="黑体" w:hAnsi="宋体" w:eastAsia="黑体"/>
          <w:sz w:val="48"/>
          <w:szCs w:val="48"/>
        </w:rPr>
      </w:pPr>
      <w:r>
        <w:rPr>
          <w:szCs w:val="48"/>
        </w:rPr>
        <w:drawing>
          <wp:inline distT="0" distB="0" distL="0" distR="0">
            <wp:extent cx="8025130" cy="631380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srcRect/>
                    <a:stretch>
                      <a:fillRect/>
                    </a:stretch>
                  </pic:blipFill>
                  <pic:spPr>
                    <a:xfrm>
                      <a:off x="0" y="0"/>
                      <a:ext cx="8023596" cy="6312243"/>
                    </a:xfrm>
                    <a:prstGeom prst="rect">
                      <a:avLst/>
                    </a:prstGeom>
                    <a:noFill/>
                    <a:ln w="9525">
                      <a:noFill/>
                      <a:miter lim="800000"/>
                      <a:headEnd/>
                      <a:tailEnd/>
                    </a:ln>
                  </pic:spPr>
                </pic:pic>
              </a:graphicData>
            </a:graphic>
          </wp:inline>
        </w:drawing>
      </w:r>
    </w:p>
    <w:p>
      <w:pPr>
        <w:jc w:val="left"/>
        <w:rPr>
          <w:rFonts w:ascii="黑体" w:hAnsi="宋体" w:eastAsia="黑体"/>
          <w:sz w:val="48"/>
          <w:szCs w:val="48"/>
        </w:rPr>
      </w:pPr>
      <w:r>
        <w:rPr>
          <w:szCs w:val="48"/>
        </w:rPr>
        <w:drawing>
          <wp:inline distT="0" distB="0" distL="0" distR="0">
            <wp:extent cx="8633460" cy="62972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srcRect/>
                    <a:stretch>
                      <a:fillRect/>
                    </a:stretch>
                  </pic:blipFill>
                  <pic:spPr>
                    <a:xfrm>
                      <a:off x="0" y="0"/>
                      <a:ext cx="8637724" cy="6300759"/>
                    </a:xfrm>
                    <a:prstGeom prst="rect">
                      <a:avLst/>
                    </a:prstGeom>
                    <a:noFill/>
                    <a:ln w="9525">
                      <a:noFill/>
                      <a:miter lim="800000"/>
                      <a:headEnd/>
                      <a:tailEnd/>
                    </a:ln>
                  </pic:spPr>
                </pic:pic>
              </a:graphicData>
            </a:graphic>
          </wp:inline>
        </w:drawing>
      </w:r>
    </w:p>
    <w:p>
      <w:pPr>
        <w:jc w:val="left"/>
        <w:rPr>
          <w:rFonts w:ascii="黑体" w:hAnsi="宋体" w:eastAsia="黑体"/>
          <w:sz w:val="48"/>
          <w:szCs w:val="48"/>
        </w:rPr>
      </w:pPr>
      <w:r>
        <w:rPr>
          <w:szCs w:val="48"/>
        </w:rPr>
        <w:drawing>
          <wp:inline distT="0" distB="0" distL="0" distR="0">
            <wp:extent cx="9079865" cy="5849620"/>
            <wp:effectExtent l="19050" t="0" r="6646"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srcRect/>
                    <a:stretch>
                      <a:fillRect/>
                    </a:stretch>
                  </pic:blipFill>
                  <pic:spPr>
                    <a:xfrm>
                      <a:off x="0" y="0"/>
                      <a:ext cx="9091239" cy="5857243"/>
                    </a:xfrm>
                    <a:prstGeom prst="rect">
                      <a:avLst/>
                    </a:prstGeom>
                    <a:noFill/>
                    <a:ln w="9525">
                      <a:noFill/>
                      <a:miter lim="800000"/>
                      <a:headEnd/>
                      <a:tailEnd/>
                    </a:ln>
                  </pic:spPr>
                </pic:pic>
              </a:graphicData>
            </a:graphic>
          </wp:inline>
        </w:drawing>
      </w:r>
    </w:p>
    <w:p>
      <w:pPr>
        <w:jc w:val="left"/>
        <w:rPr>
          <w:rFonts w:ascii="黑体" w:hAnsi="宋体" w:eastAsia="黑体"/>
          <w:sz w:val="48"/>
          <w:szCs w:val="48"/>
        </w:rPr>
      </w:pPr>
      <w:r>
        <w:rPr>
          <w:szCs w:val="48"/>
        </w:rPr>
        <w:drawing>
          <wp:inline distT="0" distB="0" distL="0" distR="0">
            <wp:extent cx="7929245" cy="63436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srcRect/>
                    <a:stretch>
                      <a:fillRect/>
                    </a:stretch>
                  </pic:blipFill>
                  <pic:spPr>
                    <a:xfrm>
                      <a:off x="0" y="0"/>
                      <a:ext cx="7929467" cy="6343574"/>
                    </a:xfrm>
                    <a:prstGeom prst="rect">
                      <a:avLst/>
                    </a:prstGeom>
                    <a:noFill/>
                    <a:ln w="9525">
                      <a:noFill/>
                      <a:miter lim="800000"/>
                      <a:headEnd/>
                      <a:tailEnd/>
                    </a:ln>
                  </pic:spPr>
                </pic:pic>
              </a:graphicData>
            </a:graphic>
          </wp:inline>
        </w:drawing>
      </w:r>
    </w:p>
    <w:p>
      <w:pPr>
        <w:jc w:val="left"/>
        <w:rPr>
          <w:rFonts w:ascii="黑体" w:hAnsi="宋体" w:eastAsia="黑体"/>
          <w:sz w:val="48"/>
          <w:szCs w:val="48"/>
        </w:rPr>
      </w:pPr>
      <w:r>
        <w:rPr>
          <w:szCs w:val="48"/>
        </w:rPr>
        <w:drawing>
          <wp:inline distT="0" distB="0" distL="0" distR="0">
            <wp:extent cx="8863330" cy="170878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srcRect/>
                    <a:stretch>
                      <a:fillRect/>
                    </a:stretch>
                  </pic:blipFill>
                  <pic:spPr>
                    <a:xfrm>
                      <a:off x="0" y="0"/>
                      <a:ext cx="8863330" cy="1709124"/>
                    </a:xfrm>
                    <a:prstGeom prst="rect">
                      <a:avLst/>
                    </a:prstGeom>
                    <a:noFill/>
                    <a:ln w="9525">
                      <a:noFill/>
                      <a:miter lim="800000"/>
                      <a:headEnd/>
                      <a:tailEnd/>
                    </a:ln>
                  </pic:spPr>
                </pic:pic>
              </a:graphicData>
            </a:graphic>
          </wp:inline>
        </w:drawing>
      </w:r>
    </w:p>
    <w:p>
      <w:pPr>
        <w:jc w:val="left"/>
        <w:rPr>
          <w:rFonts w:ascii="黑体" w:hAnsi="宋体" w:eastAsia="黑体"/>
          <w:sz w:val="48"/>
          <w:szCs w:val="48"/>
        </w:rPr>
      </w:pPr>
    </w:p>
    <w:tbl>
      <w:tblPr>
        <w:tblStyle w:val="7"/>
        <w:tblW w:w="16954" w:type="dxa"/>
        <w:tblInd w:w="91" w:type="dxa"/>
        <w:tblLayout w:type="autofit"/>
        <w:tblCellMar>
          <w:top w:w="0" w:type="dxa"/>
          <w:left w:w="108" w:type="dxa"/>
          <w:bottom w:w="0" w:type="dxa"/>
          <w:right w:w="108" w:type="dxa"/>
        </w:tblCellMar>
      </w:tblPr>
      <w:tblGrid>
        <w:gridCol w:w="1317"/>
        <w:gridCol w:w="1317"/>
        <w:gridCol w:w="300"/>
        <w:gridCol w:w="3940"/>
        <w:gridCol w:w="1680"/>
        <w:gridCol w:w="1680"/>
        <w:gridCol w:w="1680"/>
        <w:gridCol w:w="1680"/>
        <w:gridCol w:w="1680"/>
        <w:gridCol w:w="1680"/>
      </w:tblGrid>
      <w:tr>
        <w:tblPrEx>
          <w:tblCellMar>
            <w:top w:w="0" w:type="dxa"/>
            <w:left w:w="108" w:type="dxa"/>
            <w:bottom w:w="0" w:type="dxa"/>
            <w:right w:w="108" w:type="dxa"/>
          </w:tblCellMar>
        </w:tblPrEx>
        <w:trPr>
          <w:trHeight w:val="390" w:hRule="atLeast"/>
        </w:trPr>
        <w:tc>
          <w:tcPr>
            <w:tcW w:w="131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1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9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55" w:hRule="atLeast"/>
        </w:trPr>
        <w:tc>
          <w:tcPr>
            <w:tcW w:w="131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1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9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bl>
    <w:p>
      <w:pPr>
        <w:jc w:val="left"/>
        <w:rPr>
          <w:rFonts w:ascii="黑体" w:hAnsi="宋体" w:eastAsia="黑体"/>
          <w:sz w:val="48"/>
          <w:szCs w:val="48"/>
        </w:rPr>
      </w:pPr>
    </w:p>
    <w:p>
      <w:pPr>
        <w:jc w:val="left"/>
        <w:rPr>
          <w:rFonts w:ascii="黑体" w:hAnsi="宋体" w:eastAsia="黑体"/>
          <w:sz w:val="48"/>
          <w:szCs w:val="48"/>
        </w:rPr>
      </w:pPr>
    </w:p>
    <w:p>
      <w:pPr>
        <w:jc w:val="left"/>
        <w:rPr>
          <w:rFonts w:ascii="黑体" w:hAnsi="宋体" w:eastAsia="黑体"/>
          <w:sz w:val="48"/>
          <w:szCs w:val="48"/>
        </w:rPr>
      </w:pPr>
    </w:p>
    <w:p>
      <w:pPr>
        <w:jc w:val="left"/>
        <w:rPr>
          <w:rFonts w:ascii="黑体" w:hAnsi="宋体" w:eastAsia="黑体"/>
          <w:sz w:val="48"/>
          <w:szCs w:val="48"/>
        </w:rPr>
      </w:pPr>
    </w:p>
    <w:p>
      <w:pPr>
        <w:widowControl/>
        <w:jc w:val="left"/>
        <w:rPr>
          <w:rFonts w:ascii="黑体" w:hAnsi="黑体" w:eastAsia="黑体" w:cs="黑体"/>
          <w:sz w:val="48"/>
          <w:szCs w:val="48"/>
        </w:rPr>
      </w:pPr>
      <w:r>
        <w:rPr>
          <w:rFonts w:ascii="黑体" w:hAnsi="宋体" w:eastAsia="黑体"/>
          <w:sz w:val="48"/>
          <w:szCs w:val="48"/>
        </w:rPr>
        <w:br w:type="page"/>
      </w:r>
    </w:p>
    <w:p>
      <w:pPr>
        <w:rPr>
          <w:rFonts w:ascii="黑体" w:hAnsi="黑体" w:eastAsia="黑体" w:cs="黑体"/>
          <w:sz w:val="48"/>
          <w:szCs w:val="48"/>
        </w:rPr>
      </w:pPr>
      <w:r>
        <w:rPr>
          <w:rFonts w:hint="eastAsia" w:ascii="黑体" w:hAnsi="黑体" w:eastAsia="黑体" w:cs="黑体"/>
          <w:sz w:val="48"/>
          <w:szCs w:val="48"/>
        </w:rPr>
        <w:t xml:space="preserve">                      </w:t>
      </w:r>
    </w:p>
    <w:p>
      <w:pPr>
        <w:rPr>
          <w:rFonts w:ascii="黑体" w:hAnsi="黑体" w:eastAsia="黑体" w:cs="黑体"/>
          <w:sz w:val="48"/>
          <w:szCs w:val="48"/>
        </w:rPr>
      </w:pPr>
      <w:r>
        <w:rPr>
          <w:rFonts w:hint="eastAsia"/>
          <w:szCs w:val="48"/>
        </w:rPr>
        <w:drawing>
          <wp:inline distT="0" distB="0" distL="0" distR="0">
            <wp:extent cx="8863330" cy="26885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srcRect/>
                    <a:stretch>
                      <a:fillRect/>
                    </a:stretch>
                  </pic:blipFill>
                  <pic:spPr>
                    <a:xfrm>
                      <a:off x="0" y="0"/>
                      <a:ext cx="8863330" cy="2689028"/>
                    </a:xfrm>
                    <a:prstGeom prst="rect">
                      <a:avLst/>
                    </a:prstGeom>
                    <a:noFill/>
                    <a:ln w="9525">
                      <a:noFill/>
                      <a:miter lim="800000"/>
                      <a:headEnd/>
                      <a:tailEnd/>
                    </a:ln>
                  </pic:spPr>
                </pic:pic>
              </a:graphicData>
            </a:graphic>
          </wp:inline>
        </w:drawing>
      </w: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p>
    <w:p>
      <w:pPr>
        <w:rPr>
          <w:rFonts w:ascii="黑体" w:hAnsi="黑体" w:eastAsia="黑体" w:cs="黑体"/>
          <w:sz w:val="48"/>
          <w:szCs w:val="48"/>
        </w:rPr>
      </w:pPr>
      <w:r>
        <w:rPr>
          <w:rFonts w:hint="eastAsia" w:ascii="黑体" w:hAnsi="黑体" w:eastAsia="黑体" w:cs="黑体"/>
          <w:sz w:val="48"/>
          <w:szCs w:val="48"/>
        </w:rPr>
        <w:t xml:space="preserve">                         第三部分</w:t>
      </w:r>
    </w:p>
    <w:p>
      <w:pPr>
        <w:jc w:val="center"/>
        <w:rPr>
          <w:rFonts w:ascii="黑体" w:hAnsi="黑体" w:eastAsia="黑体" w:cs="黑体"/>
          <w:sz w:val="48"/>
          <w:szCs w:val="48"/>
        </w:rPr>
      </w:pPr>
    </w:p>
    <w:p>
      <w:pPr>
        <w:jc w:val="center"/>
        <w:rPr>
          <w:rFonts w:ascii="黑体" w:hAnsi="黑体" w:eastAsia="黑体" w:cs="黑体"/>
          <w:sz w:val="48"/>
          <w:szCs w:val="48"/>
        </w:rPr>
      </w:pPr>
      <w:r>
        <w:rPr>
          <w:rFonts w:hint="eastAsia" w:ascii="黑体" w:hAnsi="黑体" w:eastAsia="黑体" w:cs="黑体"/>
          <w:sz w:val="48"/>
          <w:szCs w:val="48"/>
        </w:rPr>
        <w:t>朗县住建局2021年度</w:t>
      </w:r>
    </w:p>
    <w:p>
      <w:pPr>
        <w:jc w:val="center"/>
        <w:rPr>
          <w:rFonts w:ascii="黑体" w:hAnsi="黑体" w:eastAsia="黑体" w:cs="黑体"/>
          <w:sz w:val="44"/>
          <w:szCs w:val="44"/>
        </w:rPr>
      </w:pPr>
      <w:r>
        <w:rPr>
          <w:rFonts w:hint="eastAsia" w:ascii="黑体" w:hAnsi="黑体" w:eastAsia="黑体" w:cs="黑体"/>
          <w:sz w:val="48"/>
          <w:szCs w:val="48"/>
        </w:rPr>
        <w:t>决算情况说明</w:t>
      </w:r>
    </w:p>
    <w:p>
      <w:pP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一、2021年度财政拨款收入预算总体情况说明</w:t>
      </w:r>
    </w:p>
    <w:p>
      <w:pPr>
        <w:ind w:firstLine="640" w:firstLineChars="200"/>
        <w:rPr>
          <w:rFonts w:ascii="仿宋" w:hAnsi="仿宋" w:eastAsia="仿宋" w:cs="仿宋_GB2312"/>
          <w:color w:val="000000" w:themeColor="text1"/>
          <w:kern w:val="0"/>
          <w:sz w:val="32"/>
          <w:szCs w:val="32"/>
        </w:rPr>
      </w:pPr>
      <w:r>
        <w:rPr>
          <w:rFonts w:hint="eastAsia" w:ascii="仿宋" w:hAnsi="仿宋" w:eastAsia="仿宋" w:cs="仿宋_GB2312"/>
          <w:kern w:val="0"/>
          <w:sz w:val="32"/>
          <w:szCs w:val="32"/>
        </w:rPr>
        <w:t>2021年度，朗县住建局一般公共预算财政拨款收入1242.61万元，上年结转11513.8万元，支出9359.35万元。与2020年收入17517.31万元相比，财政拨款减少了16274.7万元，减少了92.90%，主要是项目资金减少；与2020年支出6009.13万元相比，增加了</w:t>
      </w:r>
      <w:r>
        <w:rPr>
          <w:rFonts w:hint="eastAsia" w:ascii="仿宋" w:hAnsi="仿宋" w:eastAsia="仿宋" w:cs="仿宋_GB2312"/>
          <w:color w:val="000000" w:themeColor="text1"/>
          <w:kern w:val="0"/>
          <w:sz w:val="32"/>
          <w:szCs w:val="32"/>
        </w:rPr>
        <w:t>3350.22万元，增加了55.75%，主要是项目支出增加。</w:t>
      </w:r>
    </w:p>
    <w:p>
      <w:pPr>
        <w:ind w:firstLine="627" w:firstLineChars="196"/>
        <w:rPr>
          <w:rFonts w:ascii="黑体" w:hAnsi="黑体" w:eastAsia="黑体" w:cs="黑体"/>
          <w:sz w:val="32"/>
          <w:szCs w:val="32"/>
        </w:rPr>
      </w:pPr>
      <w:r>
        <w:rPr>
          <w:rFonts w:hint="eastAsia" w:ascii="黑体" w:hAnsi="黑体" w:eastAsia="黑体" w:cs="黑体"/>
          <w:sz w:val="32"/>
          <w:szCs w:val="32"/>
        </w:rPr>
        <w:t>二、2021年度一般公共预算收入情况说明</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朗县住房和城乡建设局2021年度财政拨款收入是1242.61万元，财政拨款收入占100％。</w:t>
      </w:r>
    </w:p>
    <w:p>
      <w:pPr>
        <w:ind w:firstLine="627" w:firstLineChars="196"/>
        <w:rPr>
          <w:rFonts w:ascii="黑体" w:hAnsi="黑体" w:eastAsia="黑体" w:cs="黑体"/>
          <w:sz w:val="32"/>
          <w:szCs w:val="32"/>
        </w:rPr>
      </w:pPr>
      <w:r>
        <w:rPr>
          <w:rFonts w:hint="eastAsia" w:ascii="黑体" w:hAnsi="黑体" w:eastAsia="黑体" w:cs="黑体"/>
          <w:sz w:val="32"/>
          <w:szCs w:val="32"/>
        </w:rPr>
        <w:t>三、2021年度一般公共预算支出情况说明</w:t>
      </w:r>
    </w:p>
    <w:p>
      <w:pPr>
        <w:ind w:firstLine="640" w:firstLineChars="200"/>
        <w:rPr>
          <w:rFonts w:ascii="仿宋" w:hAnsi="仿宋" w:eastAsia="仿宋" w:cs="黑体"/>
          <w:sz w:val="32"/>
          <w:szCs w:val="32"/>
        </w:rPr>
      </w:pPr>
      <w:r>
        <w:rPr>
          <w:rFonts w:hint="eastAsia" w:ascii="仿宋" w:hAnsi="仿宋" w:eastAsia="仿宋" w:cs="仿宋_GB2312"/>
          <w:kern w:val="0"/>
          <w:sz w:val="32"/>
          <w:szCs w:val="32"/>
        </w:rPr>
        <w:t>朗县住房和城乡建设局2021年度支出9359.35万元，基本支出470.15万元（其中:人员经费430.06万元,日常公用经费40.08万元），占9.31%；项目支出3877.55万元、占90.69%。</w:t>
      </w:r>
    </w:p>
    <w:p>
      <w:pPr>
        <w:ind w:firstLine="640" w:firstLineChars="200"/>
        <w:rPr>
          <w:rFonts w:ascii="方正仿宋简体" w:hAnsi="仿宋_GB2312" w:eastAsia="方正仿宋简体" w:cs="仿宋_GB2312"/>
          <w:kern w:val="0"/>
          <w:sz w:val="32"/>
          <w:szCs w:val="32"/>
        </w:rPr>
      </w:pPr>
      <w:r>
        <w:rPr>
          <w:rFonts w:hint="eastAsia" w:ascii="楷体_GB2312" w:hAnsi="楷体" w:eastAsia="楷体_GB2312" w:cs="仿宋"/>
          <w:sz w:val="32"/>
          <w:szCs w:val="32"/>
        </w:rPr>
        <w:t>（一）</w:t>
      </w:r>
      <w:r>
        <w:rPr>
          <w:rFonts w:hint="eastAsia" w:ascii="方正仿宋简体" w:hAnsi="仿宋_GB2312" w:eastAsia="方正仿宋简体" w:cs="仿宋_GB2312"/>
          <w:kern w:val="0"/>
          <w:sz w:val="32"/>
          <w:szCs w:val="32"/>
        </w:rPr>
        <w:t>财政拨款支出决算总体情况</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今年我局财政拨款支出决算总数为9359.35万元。</w:t>
      </w:r>
    </w:p>
    <w:p>
      <w:pPr>
        <w:ind w:firstLine="640" w:firstLineChars="200"/>
        <w:rPr>
          <w:rFonts w:ascii="方正仿宋简体" w:hAnsi="仿宋_GB2312" w:eastAsia="方正仿宋简体" w:cs="仿宋_GB2312"/>
          <w:kern w:val="0"/>
          <w:sz w:val="32"/>
          <w:szCs w:val="32"/>
        </w:rPr>
      </w:pPr>
      <w:r>
        <w:rPr>
          <w:rFonts w:hint="eastAsia" w:ascii="楷体_GB2312" w:hAnsi="楷体" w:eastAsia="楷体_GB2312" w:cs="仿宋"/>
          <w:sz w:val="32"/>
          <w:szCs w:val="32"/>
        </w:rPr>
        <w:t>（二）</w:t>
      </w:r>
      <w:r>
        <w:rPr>
          <w:rFonts w:hint="eastAsia" w:ascii="方正仿宋简体" w:hAnsi="仿宋_GB2312" w:eastAsia="方正仿宋简体" w:cs="仿宋_GB2312"/>
          <w:kern w:val="0"/>
          <w:sz w:val="32"/>
          <w:szCs w:val="32"/>
        </w:rPr>
        <w:t>财政拨款支出决算结构情况</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般公共预算支出9359.35万元，其中社会保障和就业支出45.39万元、占比0.45%；卫生健康支出18.98万元、占比0.20%；城乡社区支出7962.31万元、占比85%；农林水支出19.06万元、占比0.20%；资源勘探信息等支382.78万元、占比4.9%；住房保障支出930.82万元、占比9.25%。</w:t>
      </w:r>
    </w:p>
    <w:p>
      <w:pPr>
        <w:ind w:firstLine="640" w:firstLineChars="200"/>
        <w:rPr>
          <w:rFonts w:ascii="方正仿宋简体" w:hAnsi="仿宋_GB2312" w:eastAsia="方正仿宋简体" w:cs="仿宋_GB2312"/>
          <w:kern w:val="0"/>
          <w:sz w:val="32"/>
          <w:szCs w:val="32"/>
        </w:rPr>
      </w:pPr>
      <w:r>
        <w:rPr>
          <w:rFonts w:hint="eastAsia" w:ascii="楷体_GB2312" w:hAnsi="楷体" w:eastAsia="楷体_GB2312" w:cs="仿宋"/>
          <w:sz w:val="32"/>
          <w:szCs w:val="32"/>
        </w:rPr>
        <w:t>（三）</w:t>
      </w:r>
      <w:r>
        <w:rPr>
          <w:rFonts w:hint="eastAsia" w:ascii="方正仿宋简体" w:hAnsi="仿宋_GB2312" w:eastAsia="方正仿宋简体" w:cs="仿宋_GB2312"/>
          <w:kern w:val="0"/>
          <w:sz w:val="32"/>
          <w:szCs w:val="32"/>
        </w:rPr>
        <w:t>财政拨款支出决算具体情况</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社会保障和就业支出（类）行政事业单位养老支出（款）机关事业单位基本养老保险缴费支出（项）25.95万元，财政对基本养老保险基金补助（款）财政对其他基本养老保险基金的补助（项）18.32万元。财政对其他社会保障基金补助（款）财政对失业保险基金的补助（项）0.64万元。财政对工伤保险基金的补助（项）0.47万元。</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2、卫生健康支出（类）行政事业单位医疗支出（款）公务员医疗补助（项）4.87万元，财政对基本医疗保险基金的补助（款）财政对职工基本医疗保险基金的补助（项）14.11万元。</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3、城乡社区支出（类）城乡社区公共设施（款）小城镇基础设施建设（项）7929.45万元。城乡社区环境卫生（款）城乡环境卫生支出（项）32.86万元。</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4、农林水支出（类）林业和草原（款）其他林业和草原支出（项）19.06万元</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5、资源勘探信息等支出（类）建筑业（款）行政运行（项）373.27万元，一般行政管理事物（项）3.75万元，其他建筑业支出（项）5.75万元。</w:t>
      </w:r>
    </w:p>
    <w:p>
      <w:pPr>
        <w:ind w:firstLine="640" w:firstLineChars="200"/>
        <w:rPr>
          <w:rFonts w:ascii="仿宋" w:hAnsi="仿宋" w:eastAsia="仿宋" w:cs="仿宋_GB2312"/>
          <w:color w:val="000000" w:themeColor="text1"/>
          <w:kern w:val="0"/>
          <w:sz w:val="32"/>
          <w:szCs w:val="32"/>
        </w:rPr>
      </w:pPr>
      <w:r>
        <w:rPr>
          <w:rFonts w:hint="eastAsia" w:ascii="仿宋" w:hAnsi="仿宋" w:eastAsia="仿宋" w:cs="仿宋_GB2312"/>
          <w:kern w:val="0"/>
          <w:sz w:val="32"/>
          <w:szCs w:val="32"/>
        </w:rPr>
        <w:t>6、</w:t>
      </w:r>
      <w:r>
        <w:rPr>
          <w:rFonts w:hint="eastAsia" w:ascii="仿宋" w:hAnsi="仿宋" w:eastAsia="仿宋" w:cs="仿宋_GB2312"/>
          <w:color w:val="000000" w:themeColor="text1"/>
          <w:kern w:val="0"/>
          <w:sz w:val="32"/>
          <w:szCs w:val="32"/>
        </w:rPr>
        <w:t>住房保障支出（类）保障性安居工程支出（款）棚户区改造（项）128.37万元，农村危房（项）376.36万元，保障性住房租金补贴（项）1.26万元，其他保障性安居工程（项）403.10万元。，住房改革支出（款）住房公积金（项）21.73万元</w:t>
      </w:r>
    </w:p>
    <w:p>
      <w:pPr>
        <w:jc w:val="center"/>
        <w:rPr>
          <w:rFonts w:ascii="方正仿宋简体" w:hAnsi="仿宋_GB2312" w:eastAsia="方正仿宋简体" w:cs="仿宋_GB2312"/>
          <w:kern w:val="0"/>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p>
    <w:p>
      <w:pPr>
        <w:jc w:val="center"/>
        <w:rPr>
          <w:rFonts w:ascii="黑体" w:hAnsi="黑体" w:eastAsia="黑体" w:cs="黑体"/>
          <w:b/>
          <w:sz w:val="32"/>
          <w:szCs w:val="32"/>
        </w:rPr>
      </w:pPr>
      <w:r>
        <w:rPr>
          <w:rFonts w:hint="eastAsia" w:ascii="黑体" w:hAnsi="黑体" w:eastAsia="黑体" w:cs="黑体"/>
          <w:b/>
          <w:sz w:val="32"/>
          <w:szCs w:val="32"/>
        </w:rPr>
        <w:t>五、2021年度“三公”经费预决算情况说明</w:t>
      </w:r>
    </w:p>
    <w:p>
      <w:pPr>
        <w:tabs>
          <w:tab w:val="center" w:pos="4213"/>
          <w:tab w:val="right" w:pos="8306"/>
        </w:tabs>
        <w:spacing w:beforeLines="100" w:afterLines="100"/>
        <w:jc w:val="center"/>
        <w:rPr>
          <w:rFonts w:ascii="方正小标宋简体" w:hAnsi="仿宋" w:eastAsia="方正小标宋简体" w:cs="仿宋"/>
          <w:bCs/>
          <w:kern w:val="0"/>
          <w:sz w:val="36"/>
          <w:szCs w:val="36"/>
        </w:rPr>
      </w:pPr>
      <w:r>
        <w:rPr>
          <w:rFonts w:hint="eastAsia" w:ascii="方正小标宋简体" w:hAnsi="仿宋" w:eastAsia="方正小标宋简体" w:cs="仿宋"/>
          <w:bCs/>
          <w:kern w:val="0"/>
          <w:sz w:val="36"/>
          <w:szCs w:val="36"/>
        </w:rPr>
        <w:t>朗县住房和城乡建设局2021年“三公”经费情况表</w:t>
      </w:r>
    </w:p>
    <w:p>
      <w:pPr>
        <w:tabs>
          <w:tab w:val="center" w:pos="4213"/>
          <w:tab w:val="right" w:pos="8306"/>
        </w:tabs>
        <w:spacing w:beforeLines="100"/>
        <w:ind w:firstLine="6720" w:firstLineChars="2400"/>
        <w:jc w:val="left"/>
        <w:rPr>
          <w:rFonts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单位：万元</w:t>
      </w:r>
    </w:p>
    <w:tbl>
      <w:tblPr>
        <w:tblStyle w:val="7"/>
        <w:tblW w:w="11135" w:type="dxa"/>
        <w:jc w:val="center"/>
        <w:tblLayout w:type="fixed"/>
        <w:tblCellMar>
          <w:top w:w="0" w:type="dxa"/>
          <w:left w:w="108" w:type="dxa"/>
          <w:bottom w:w="0" w:type="dxa"/>
          <w:right w:w="108" w:type="dxa"/>
        </w:tblCellMar>
      </w:tblPr>
      <w:tblGrid>
        <w:gridCol w:w="5165"/>
        <w:gridCol w:w="1759"/>
        <w:gridCol w:w="1923"/>
        <w:gridCol w:w="2288"/>
      </w:tblGrid>
      <w:tr>
        <w:tblPrEx>
          <w:tblCellMar>
            <w:top w:w="0" w:type="dxa"/>
            <w:left w:w="108" w:type="dxa"/>
            <w:bottom w:w="0" w:type="dxa"/>
            <w:right w:w="108" w:type="dxa"/>
          </w:tblCellMar>
        </w:tblPrEx>
        <w:trPr>
          <w:trHeight w:val="591" w:hRule="exact"/>
          <w:jc w:val="center"/>
        </w:trPr>
        <w:tc>
          <w:tcPr>
            <w:tcW w:w="5165" w:type="dxa"/>
            <w:tcBorders>
              <w:top w:val="single" w:color="auto" w:sz="4" w:space="0"/>
              <w:left w:val="single" w:color="auto" w:sz="4" w:space="0"/>
              <w:bottom w:val="single" w:color="auto" w:sz="4" w:space="0"/>
              <w:right w:val="single" w:color="auto" w:sz="4" w:space="0"/>
            </w:tcBorders>
            <w:vAlign w:val="center"/>
          </w:tcPr>
          <w:p>
            <w:pPr>
              <w:ind w:right="12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项目</w:t>
            </w: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预算数</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决算数</w:t>
            </w:r>
          </w:p>
        </w:tc>
        <w:tc>
          <w:tcPr>
            <w:tcW w:w="228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备注</w:t>
            </w:r>
          </w:p>
        </w:tc>
      </w:tr>
      <w:tr>
        <w:tblPrEx>
          <w:tblCellMar>
            <w:top w:w="0" w:type="dxa"/>
            <w:left w:w="108" w:type="dxa"/>
            <w:bottom w:w="0" w:type="dxa"/>
            <w:right w:w="108" w:type="dxa"/>
          </w:tblCellMar>
        </w:tblPrEx>
        <w:trPr>
          <w:trHeight w:val="591" w:hRule="exact"/>
          <w:jc w:val="center"/>
        </w:trPr>
        <w:tc>
          <w:tcPr>
            <w:tcW w:w="5165"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合计</w:t>
            </w: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6.27</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5.48</w:t>
            </w:r>
          </w:p>
        </w:tc>
        <w:tc>
          <w:tcPr>
            <w:tcW w:w="2288"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w:t>
            </w:r>
          </w:p>
        </w:tc>
      </w:tr>
      <w:tr>
        <w:tblPrEx>
          <w:tblCellMar>
            <w:top w:w="0" w:type="dxa"/>
            <w:left w:w="108" w:type="dxa"/>
            <w:bottom w:w="0" w:type="dxa"/>
            <w:right w:w="108" w:type="dxa"/>
          </w:tblCellMar>
        </w:tblPrEx>
        <w:trPr>
          <w:trHeight w:val="591" w:hRule="exact"/>
          <w:jc w:val="center"/>
        </w:trPr>
        <w:tc>
          <w:tcPr>
            <w:tcW w:w="5165"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1.因公出国（境）费</w:t>
            </w: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tabs>
                <w:tab w:val="left" w:pos="495"/>
              </w:tabs>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ab/>
            </w:r>
            <w:r>
              <w:rPr>
                <w:rFonts w:hint="eastAsia" w:asciiTheme="minorEastAsia" w:hAnsiTheme="minorEastAsia" w:eastAsiaTheme="minorEastAsia" w:cstheme="minorEastAsia"/>
                <w:kern w:val="0"/>
                <w:sz w:val="28"/>
                <w:szCs w:val="28"/>
              </w:rPr>
              <w:t>0</w:t>
            </w:r>
          </w:p>
        </w:tc>
        <w:tc>
          <w:tcPr>
            <w:tcW w:w="2288"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w:t>
            </w:r>
          </w:p>
        </w:tc>
      </w:tr>
      <w:tr>
        <w:tblPrEx>
          <w:tblCellMar>
            <w:top w:w="0" w:type="dxa"/>
            <w:left w:w="108" w:type="dxa"/>
            <w:bottom w:w="0" w:type="dxa"/>
            <w:right w:w="108" w:type="dxa"/>
          </w:tblCellMar>
        </w:tblPrEx>
        <w:trPr>
          <w:trHeight w:val="591" w:hRule="exact"/>
          <w:jc w:val="center"/>
        </w:trPr>
        <w:tc>
          <w:tcPr>
            <w:tcW w:w="5165"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2.公务接待费</w:t>
            </w: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0.63</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2288"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w:t>
            </w:r>
          </w:p>
        </w:tc>
      </w:tr>
      <w:tr>
        <w:tblPrEx>
          <w:tblCellMar>
            <w:top w:w="0" w:type="dxa"/>
            <w:left w:w="108" w:type="dxa"/>
            <w:bottom w:w="0" w:type="dxa"/>
            <w:right w:w="108" w:type="dxa"/>
          </w:tblCellMar>
        </w:tblPrEx>
        <w:trPr>
          <w:trHeight w:val="591" w:hRule="exact"/>
          <w:jc w:val="center"/>
        </w:trPr>
        <w:tc>
          <w:tcPr>
            <w:tcW w:w="5165"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3.公务用车经费</w:t>
            </w:r>
          </w:p>
        </w:tc>
        <w:tc>
          <w:tcPr>
            <w:tcW w:w="1759"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2288"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p>
        </w:tc>
      </w:tr>
      <w:tr>
        <w:tblPrEx>
          <w:tblCellMar>
            <w:top w:w="0" w:type="dxa"/>
            <w:left w:w="108" w:type="dxa"/>
            <w:bottom w:w="0" w:type="dxa"/>
            <w:right w:w="108" w:type="dxa"/>
          </w:tblCellMar>
        </w:tblPrEx>
        <w:trPr>
          <w:trHeight w:val="591" w:hRule="exact"/>
          <w:jc w:val="center"/>
        </w:trPr>
        <w:tc>
          <w:tcPr>
            <w:tcW w:w="5165"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其中：（1）公务用车运行维护费</w:t>
            </w:r>
          </w:p>
        </w:tc>
        <w:tc>
          <w:tcPr>
            <w:tcW w:w="1759" w:type="dxa"/>
            <w:tcBorders>
              <w:top w:val="single" w:color="auto" w:sz="4" w:space="0"/>
              <w:left w:val="nil"/>
              <w:bottom w:val="single" w:color="auto" w:sz="4" w:space="0"/>
              <w:right w:val="single" w:color="auto" w:sz="4" w:space="0"/>
            </w:tcBorders>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5.64</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5.48</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w:t>
            </w:r>
          </w:p>
        </w:tc>
      </w:tr>
      <w:tr>
        <w:tblPrEx>
          <w:tblCellMar>
            <w:top w:w="0" w:type="dxa"/>
            <w:left w:w="108" w:type="dxa"/>
            <w:bottom w:w="0" w:type="dxa"/>
            <w:right w:w="108" w:type="dxa"/>
          </w:tblCellMar>
        </w:tblPrEx>
        <w:trPr>
          <w:trHeight w:val="496" w:hRule="exact"/>
          <w:jc w:val="center"/>
        </w:trPr>
        <w:tc>
          <w:tcPr>
            <w:tcW w:w="5165" w:type="dxa"/>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（2）公务用车购置</w:t>
            </w:r>
          </w:p>
        </w:tc>
        <w:tc>
          <w:tcPr>
            <w:tcW w:w="1759" w:type="dxa"/>
            <w:tcBorders>
              <w:top w:val="single" w:color="auto" w:sz="4" w:space="0"/>
              <w:left w:val="nil"/>
              <w:bottom w:val="single" w:color="auto" w:sz="4" w:space="0"/>
              <w:right w:val="single" w:color="auto" w:sz="4" w:space="0"/>
            </w:tcBorders>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1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0</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w:t>
            </w:r>
          </w:p>
        </w:tc>
      </w:tr>
    </w:tbl>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2021年度我局“三公”经费发生5.48万元，比本年度预算数（6.27万元）减少0.79万元，同比减少87.40%，减少的主要原因为严格贯彻落实中央八项规定精神，进一步压减公务接待费支出，减少公务用车费用；比2020年决算数（3.97万元）增加1.51万元，同比增加72.44%，增加的主要原因为我局三辆车年初预算少车辆多，城管车、公务用车藏GC7595、工程质量监督车藏GQ7028</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车辆维修、买保险等经费不够。公务接待费方面：本年度共计支出0元，严格落实中央八项规定，控制公务接待费支出，比本年度预算数（0.63万元）减少0.63万元，规范公务接待行为，减少开支；</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公务用车经费方面：本年度共计支出5.48万元（包含燃油费、车辆保险、修理费等），比上年同期（3.97万元）增加1.51万元，同比增长72.44％；比本年度预算数（5.64万元）减少0.54万元，同比减少8.73%，无违规购车行为，定点维修，倡导驾驶员自己动手进行日常保养，减少车辆维修次数，严禁公车私用。</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因公出国（境）费方面：本年度无出国（境）学习考察情况，未产生费用。</w:t>
      </w:r>
    </w:p>
    <w:p>
      <w:pPr>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公务接待情况：2021年度单位使用公共预算财政拨款支出的国内公务接待0批次、0人次；公务用车情况：本年度无新增车辆，现有车辆3辆，其中：一般公务用车1辆、一般执法执勤用车2辆、其它用车1辆；因公出国（境）费方面：本年度无出国（境）学习考察情况。</w:t>
      </w:r>
    </w:p>
    <w:p>
      <w:pPr>
        <w:ind w:firstLine="960" w:firstLineChars="300"/>
        <w:rPr>
          <w:rFonts w:ascii="黑体" w:hAnsi="宋体" w:eastAsia="黑体"/>
          <w:sz w:val="32"/>
          <w:szCs w:val="32"/>
        </w:rPr>
      </w:pPr>
    </w:p>
    <w:p>
      <w:pPr>
        <w:ind w:firstLine="960" w:firstLineChars="300"/>
        <w:rPr>
          <w:rFonts w:ascii="黑体" w:hAnsi="宋体" w:eastAsia="黑体"/>
          <w:sz w:val="32"/>
          <w:szCs w:val="32"/>
        </w:rPr>
      </w:pPr>
      <w:r>
        <w:rPr>
          <w:rFonts w:hint="eastAsia" w:ascii="黑体" w:hAnsi="宋体" w:eastAsia="黑体"/>
          <w:sz w:val="32"/>
          <w:szCs w:val="32"/>
        </w:rPr>
        <w:t>六、2021年度</w:t>
      </w:r>
      <w:r>
        <w:rPr>
          <w:rFonts w:ascii="黑体" w:hAnsi="宋体" w:eastAsia="黑体"/>
          <w:sz w:val="32"/>
          <w:szCs w:val="32"/>
        </w:rPr>
        <w:t>机关运行情况说明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（一）2021年本部门（含下属单位）履行一般行政事业管理职能、维持机关运行，用一般公用预算安排的行政经费，合计</w:t>
      </w:r>
      <w:r>
        <w:rPr>
          <w:rFonts w:hint="eastAsia" w:ascii="仿宋" w:hAnsi="仿宋" w:eastAsia="仿宋" w:cs="仿宋"/>
          <w:color w:val="000000" w:themeColor="text1"/>
          <w:sz w:val="32"/>
          <w:szCs w:val="32"/>
          <w:lang w:val="en-US" w:eastAsia="zh-CN"/>
        </w:rPr>
        <w:t>40.08</w:t>
      </w:r>
      <w:r>
        <w:rPr>
          <w:rFonts w:hint="eastAsia" w:ascii="仿宋" w:hAnsi="仿宋" w:eastAsia="仿宋" w:cs="仿宋"/>
          <w:sz w:val="32"/>
          <w:szCs w:val="32"/>
        </w:rPr>
        <w:t>万元。</w:t>
      </w:r>
    </w:p>
    <w:p>
      <w:p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（二）机关运行经费预算的内容</w:t>
      </w:r>
    </w:p>
    <w:p>
      <w:pPr>
        <w:ind w:firstLine="640" w:firstLineChars="200"/>
        <w:rPr>
          <w:rFonts w:ascii="方正仿宋简体" w:hAnsi="仿宋" w:eastAsia="方正仿宋简体" w:cs="仿宋"/>
          <w:sz w:val="32"/>
          <w:szCs w:val="32"/>
        </w:rPr>
      </w:pPr>
      <w:r>
        <w:rPr>
          <w:rFonts w:hint="eastAsia" w:ascii="方正仿宋简体" w:hAnsi="仿宋" w:eastAsia="方正仿宋简体" w:cs="仿宋"/>
          <w:sz w:val="32"/>
          <w:szCs w:val="32"/>
        </w:rPr>
        <w:t>行政</w:t>
      </w:r>
      <w:r>
        <w:rPr>
          <w:rFonts w:ascii="方正仿宋简体" w:hAnsi="仿宋" w:eastAsia="方正仿宋简体" w:cs="仿宋"/>
          <w:sz w:val="32"/>
          <w:szCs w:val="32"/>
        </w:rPr>
        <w:t>经费由基本支出和一般行政支出两部分组成；</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基本</w:t>
      </w:r>
      <w:r>
        <w:rPr>
          <w:rFonts w:ascii="仿宋" w:hAnsi="仿宋" w:eastAsia="仿宋" w:cs="仿宋"/>
          <w:sz w:val="32"/>
          <w:szCs w:val="32"/>
        </w:rPr>
        <w:t>支出，包括两部分；一部分是人员经费，具体包括工资、津贴及奖金、医疗费、住房补贴等</w:t>
      </w:r>
      <w:r>
        <w:rPr>
          <w:rFonts w:hint="eastAsia" w:ascii="仿宋" w:hAnsi="仿宋" w:eastAsia="仿宋" w:cs="仿宋"/>
          <w:sz w:val="32"/>
          <w:szCs w:val="32"/>
        </w:rPr>
        <w:t>；</w:t>
      </w:r>
      <w:r>
        <w:rPr>
          <w:rFonts w:ascii="仿宋" w:hAnsi="仿宋" w:eastAsia="仿宋" w:cs="仿宋"/>
          <w:sz w:val="32"/>
          <w:szCs w:val="32"/>
        </w:rPr>
        <w:t>二是公用经费，具体包括办公</w:t>
      </w:r>
      <w:r>
        <w:rPr>
          <w:rFonts w:hint="eastAsia" w:ascii="仿宋" w:hAnsi="仿宋" w:eastAsia="仿宋" w:cs="仿宋"/>
          <w:sz w:val="32"/>
          <w:szCs w:val="32"/>
        </w:rPr>
        <w:t>及</w:t>
      </w:r>
      <w:r>
        <w:rPr>
          <w:rFonts w:ascii="仿宋" w:hAnsi="仿宋" w:eastAsia="仿宋" w:cs="仿宋"/>
          <w:sz w:val="32"/>
          <w:szCs w:val="32"/>
        </w:rPr>
        <w:t>印刷费、水电费、邮电费、交通费、差旅费、会议费、福利费、物业管理费、日常维修费、一般购置费等。</w:t>
      </w:r>
    </w:p>
    <w:p>
      <w:pPr>
        <w:ind w:firstLine="640" w:firstLineChars="200"/>
        <w:rPr>
          <w:rFonts w:ascii="方正仿宋简体" w:hAnsi="仿宋" w:eastAsia="方正仿宋简体" w:cs="仿宋"/>
          <w:sz w:val="32"/>
          <w:szCs w:val="32"/>
        </w:rPr>
      </w:pPr>
      <w:r>
        <w:rPr>
          <w:rFonts w:ascii="方正仿宋简体" w:hAnsi="仿宋" w:eastAsia="方正仿宋简体" w:cs="仿宋"/>
          <w:sz w:val="32"/>
          <w:szCs w:val="32"/>
        </w:rPr>
        <w:t>2.</w:t>
      </w:r>
      <w:r>
        <w:rPr>
          <w:rFonts w:hint="eastAsia" w:ascii="方正仿宋简体" w:hAnsi="仿宋" w:eastAsia="方正仿宋简体" w:cs="仿宋"/>
          <w:sz w:val="32"/>
          <w:szCs w:val="32"/>
        </w:rPr>
        <w:t>一般</w:t>
      </w:r>
      <w:r>
        <w:rPr>
          <w:rFonts w:ascii="方正仿宋简体" w:hAnsi="仿宋" w:eastAsia="方正仿宋简体" w:cs="仿宋"/>
          <w:sz w:val="32"/>
          <w:szCs w:val="32"/>
        </w:rPr>
        <w:t>行政管理项目支出，包括招待费、会议费、购置费（</w:t>
      </w:r>
      <w:r>
        <w:rPr>
          <w:rFonts w:hint="eastAsia" w:ascii="方正仿宋简体" w:hAnsi="仿宋" w:eastAsia="方正仿宋简体" w:cs="仿宋"/>
          <w:sz w:val="32"/>
          <w:szCs w:val="32"/>
        </w:rPr>
        <w:t>包括</w:t>
      </w:r>
      <w:r>
        <w:rPr>
          <w:rFonts w:ascii="方正仿宋简体" w:hAnsi="仿宋" w:eastAsia="方正仿宋简体" w:cs="仿宋"/>
          <w:sz w:val="32"/>
          <w:szCs w:val="32"/>
        </w:rPr>
        <w:t>设备、计算机等）</w:t>
      </w:r>
      <w:r>
        <w:rPr>
          <w:rFonts w:hint="eastAsia" w:ascii="方正仿宋简体" w:hAnsi="仿宋" w:eastAsia="方正仿宋简体" w:cs="仿宋"/>
          <w:sz w:val="32"/>
          <w:szCs w:val="32"/>
        </w:rPr>
        <w:t>、</w:t>
      </w:r>
      <w:r>
        <w:rPr>
          <w:rFonts w:ascii="方正仿宋简体" w:hAnsi="仿宋" w:eastAsia="方正仿宋简体" w:cs="仿宋"/>
          <w:sz w:val="32"/>
          <w:szCs w:val="32"/>
        </w:rPr>
        <w:t>专用材料费、干部培训费、信息网络运行维护费等用于</w:t>
      </w:r>
      <w:r>
        <w:rPr>
          <w:rFonts w:hint="eastAsia" w:ascii="方正仿宋简体" w:hAnsi="仿宋" w:eastAsia="方正仿宋简体" w:cs="仿宋"/>
          <w:sz w:val="32"/>
          <w:szCs w:val="32"/>
        </w:rPr>
        <w:t>一般</w:t>
      </w:r>
      <w:r>
        <w:rPr>
          <w:rFonts w:ascii="方正仿宋简体" w:hAnsi="仿宋" w:eastAsia="方正仿宋简体" w:cs="仿宋"/>
          <w:sz w:val="32"/>
          <w:szCs w:val="32"/>
        </w:rPr>
        <w:t>行政管理事务方面的项目支出。</w:t>
      </w:r>
    </w:p>
    <w:p>
      <w:pPr>
        <w:ind w:firstLine="627" w:firstLineChars="196"/>
        <w:rPr>
          <w:rFonts w:ascii="黑体" w:hAnsi="宋体" w:eastAsia="黑体"/>
          <w:sz w:val="32"/>
          <w:szCs w:val="32"/>
        </w:rPr>
      </w:pPr>
      <w:r>
        <w:rPr>
          <w:rFonts w:hint="eastAsia" w:ascii="黑体" w:hAnsi="宋体" w:eastAsia="黑体"/>
          <w:sz w:val="32"/>
          <w:szCs w:val="32"/>
        </w:rPr>
        <w:t>七、政府采购情况说明</w:t>
      </w:r>
    </w:p>
    <w:p>
      <w:pPr>
        <w:ind w:firstLine="627" w:firstLineChars="196"/>
        <w:rPr>
          <w:rFonts w:ascii="仿宋" w:hAnsi="仿宋" w:eastAsia="仿宋"/>
          <w:sz w:val="32"/>
          <w:szCs w:val="32"/>
        </w:rPr>
      </w:pPr>
      <w:r>
        <w:rPr>
          <w:rFonts w:hint="eastAsia" w:ascii="仿宋" w:hAnsi="仿宋" w:eastAsia="仿宋" w:cs="仿宋"/>
          <w:sz w:val="32"/>
          <w:szCs w:val="32"/>
        </w:rPr>
        <w:t>本单位本年度无政府采购。</w:t>
      </w:r>
    </w:p>
    <w:p>
      <w:pPr>
        <w:ind w:firstLine="627" w:firstLineChars="196"/>
        <w:rPr>
          <w:rFonts w:ascii="黑体" w:hAnsi="宋体" w:eastAsia="黑体"/>
          <w:sz w:val="32"/>
          <w:szCs w:val="32"/>
        </w:rPr>
      </w:pPr>
      <w:r>
        <w:rPr>
          <w:rFonts w:hint="eastAsia" w:ascii="黑体" w:hAnsi="宋体" w:eastAsia="黑体"/>
          <w:sz w:val="32"/>
          <w:szCs w:val="32"/>
        </w:rPr>
        <w:t>八、国有资产占有使用情况</w:t>
      </w:r>
    </w:p>
    <w:p>
      <w:pPr>
        <w:ind w:firstLine="627" w:firstLineChars="196"/>
        <w:rPr>
          <w:rFonts w:ascii="仿宋" w:hAnsi="仿宋" w:eastAsia="仿宋" w:cs="仿宋"/>
          <w:sz w:val="32"/>
          <w:szCs w:val="32"/>
        </w:rPr>
      </w:pPr>
      <w:r>
        <w:rPr>
          <w:rFonts w:hint="eastAsia" w:ascii="仿宋" w:hAnsi="仿宋" w:eastAsia="仿宋" w:cs="仿宋"/>
          <w:sz w:val="32"/>
          <w:szCs w:val="32"/>
        </w:rPr>
        <w:t>截至20201年12月31日，朗县住房和城乡建设局共有车辆4辆，其中，一般公务用车1辆、一般执法执勤用车2辆、其它用车1辆。</w:t>
      </w:r>
    </w:p>
    <w:p>
      <w:pPr>
        <w:ind w:firstLine="627" w:firstLineChars="196"/>
        <w:rPr>
          <w:rFonts w:ascii="黑体" w:hAnsi="宋体" w:eastAsia="黑体"/>
          <w:sz w:val="32"/>
          <w:szCs w:val="32"/>
        </w:rPr>
      </w:pPr>
      <w:r>
        <w:rPr>
          <w:rFonts w:hint="eastAsia" w:ascii="黑体" w:hAnsi="宋体" w:eastAsia="黑体"/>
          <w:sz w:val="32"/>
          <w:szCs w:val="32"/>
        </w:rPr>
        <w:t>九、重点、重大项目信息及绩效评价情况</w:t>
      </w:r>
    </w:p>
    <w:p>
      <w:pPr>
        <w:ind w:firstLine="627" w:firstLineChars="196"/>
        <w:rPr>
          <w:rFonts w:ascii="仿宋" w:hAnsi="仿宋" w:eastAsia="仿宋" w:cs="仿宋"/>
          <w:sz w:val="32"/>
          <w:szCs w:val="32"/>
        </w:rPr>
      </w:pPr>
      <w:r>
        <w:rPr>
          <w:rFonts w:hint="eastAsia" w:ascii="仿宋" w:hAnsi="仿宋" w:eastAsia="仿宋" w:cs="仿宋"/>
          <w:sz w:val="32"/>
          <w:szCs w:val="32"/>
        </w:rPr>
        <w:t>通过开展部门整体支出绩效评价,促进部门从整体上提升预算绩效管理工作水平，强化部门支出责任，规范资金管理行为，保障部门更好地履行职责。</w:t>
      </w:r>
    </w:p>
    <w:p>
      <w:pPr>
        <w:ind w:firstLine="627" w:firstLineChars="196"/>
        <w:rPr>
          <w:rFonts w:ascii="仿宋" w:hAnsi="仿宋" w:eastAsia="仿宋" w:cs="仿宋"/>
          <w:sz w:val="32"/>
          <w:szCs w:val="32"/>
        </w:rPr>
      </w:pPr>
      <w:r>
        <w:rPr>
          <w:rFonts w:hint="eastAsia" w:ascii="仿宋" w:hAnsi="仿宋" w:eastAsia="仿宋" w:cs="仿宋"/>
          <w:sz w:val="32"/>
          <w:szCs w:val="32"/>
        </w:rPr>
        <w:t>绩效目标完成情况</w:t>
      </w:r>
    </w:p>
    <w:p>
      <w:pPr>
        <w:ind w:firstLine="627" w:firstLineChars="196"/>
        <w:rPr>
          <w:rFonts w:ascii="仿宋" w:hAnsi="仿宋" w:eastAsia="仿宋" w:cs="仿宋"/>
          <w:sz w:val="32"/>
          <w:szCs w:val="32"/>
        </w:rPr>
      </w:pPr>
      <w:r>
        <w:rPr>
          <w:rFonts w:hint="eastAsia" w:ascii="仿宋" w:hAnsi="仿宋" w:eastAsia="仿宋" w:cs="仿宋"/>
          <w:sz w:val="32"/>
          <w:szCs w:val="32"/>
        </w:rPr>
        <w:t>评价组根据朗县住建局重点工作任务，选取了“林芝市朗县江南新城市政主干道建设项目”、“林芝市朗县江南新城市政次干道建设项目”、“林芝市江南新城市政支路建设项目”、“林芝市朗县市政道路提升工程”进行重点评价，预算安排及执行情况如下：林芝市朗县江南新城市政主干道建设项目下达资金2990万元，支出903.36万元，执行率36.21%林芝市朗县江南新城市政次干道建设项目下达资金2900万元，支出884.73万元，执行率30.51%  林芝市江南新城市政支路建设项目下达资金2600万元，支出841.10万元，执行率32.35%  林芝市朗县市政道路提升工程下达资金1623.02万元，支出968.36万元，执行率59.66%。整体绩效评价为差。支出率达不到。</w:t>
      </w:r>
    </w:p>
    <w:p>
      <w:pPr>
        <w:rPr>
          <w:rFonts w:ascii="方正仿宋简体" w:hAnsi="仿宋" w:eastAsia="方正仿宋简体" w:cs="仿宋"/>
          <w:sz w:val="32"/>
          <w:szCs w:val="32"/>
        </w:rPr>
      </w:pPr>
    </w:p>
    <w:p>
      <w:pPr>
        <w:widowControl/>
        <w:jc w:val="center"/>
        <w:rPr>
          <w:rFonts w:ascii="仿宋" w:hAnsi="仿宋" w:eastAsia="仿宋" w:cs="仿宋"/>
          <w:sz w:val="32"/>
          <w:szCs w:val="32"/>
        </w:rPr>
      </w:pPr>
      <w:r>
        <w:rPr>
          <w:rFonts w:hint="eastAsia" w:ascii="黑体" w:hAnsi="黑体" w:eastAsia="黑体" w:cs="黑体"/>
          <w:sz w:val="44"/>
          <w:szCs w:val="44"/>
        </w:rPr>
        <w:t>第四部分  名词解释</w:t>
      </w: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hint="eastAsia" w:ascii="仿宋" w:hAnsi="仿宋" w:eastAsia="仿宋" w:cs="仿宋"/>
          <w:sz w:val="32"/>
          <w:szCs w:val="32"/>
        </w:rPr>
      </w:pPr>
    </w:p>
    <w:p>
      <w:pPr>
        <w:ind w:firstLine="627" w:firstLineChars="196"/>
        <w:rPr>
          <w:rFonts w:ascii="仿宋" w:hAnsi="仿宋" w:eastAsia="仿宋" w:cs="仿宋"/>
          <w:sz w:val="32"/>
          <w:szCs w:val="32"/>
        </w:rPr>
      </w:pPr>
      <w:bookmarkStart w:id="0" w:name="_GoBack"/>
      <w:bookmarkEnd w:id="0"/>
      <w:r>
        <w:rPr>
          <w:rFonts w:hint="eastAsia" w:ascii="仿宋" w:hAnsi="仿宋" w:eastAsia="仿宋" w:cs="仿宋"/>
          <w:sz w:val="32"/>
          <w:szCs w:val="32"/>
        </w:rPr>
        <w:t>一、财政拨款收入，指中央财政当年拨付的资金</w:t>
      </w:r>
    </w:p>
    <w:p>
      <w:pPr>
        <w:ind w:firstLine="627" w:firstLineChars="196"/>
        <w:rPr>
          <w:rFonts w:ascii="仿宋" w:hAnsi="仿宋" w:eastAsia="仿宋" w:cs="仿宋"/>
          <w:sz w:val="32"/>
          <w:szCs w:val="32"/>
        </w:rPr>
      </w:pPr>
      <w:r>
        <w:rPr>
          <w:rFonts w:hint="eastAsia" w:ascii="仿宋" w:hAnsi="仿宋" w:eastAsia="仿宋" w:cs="仿宋"/>
          <w:sz w:val="32"/>
          <w:szCs w:val="32"/>
        </w:rPr>
        <w:t>二、其它收入，指上述“财政拨款收入”以外的收入，主要是按规定动用的售房收入、存款利息收入等。</w:t>
      </w:r>
    </w:p>
    <w:p>
      <w:pPr>
        <w:ind w:firstLine="627" w:firstLineChars="196"/>
        <w:rPr>
          <w:rFonts w:ascii="仿宋" w:hAnsi="仿宋" w:eastAsia="仿宋" w:cs="仿宋"/>
          <w:sz w:val="32"/>
          <w:szCs w:val="32"/>
        </w:rPr>
      </w:pPr>
      <w:r>
        <w:rPr>
          <w:rFonts w:hint="eastAsia" w:ascii="仿宋" w:hAnsi="仿宋" w:eastAsia="仿宋" w:cs="仿宋"/>
          <w:sz w:val="32"/>
          <w:szCs w:val="32"/>
        </w:rPr>
        <w:t>三、上年结转，指以前年度尚未完成、结转到本年度扔按原规定用途继续使用的资金。</w:t>
      </w:r>
    </w:p>
    <w:p>
      <w:pPr>
        <w:ind w:firstLine="640" w:firstLineChars="200"/>
        <w:jc w:val="left"/>
        <w:rPr>
          <w:rFonts w:ascii="仿宋" w:hAnsi="仿宋" w:eastAsia="仿宋" w:cs="仿宋"/>
          <w:sz w:val="32"/>
          <w:szCs w:val="32"/>
        </w:rPr>
      </w:pPr>
    </w:p>
    <w:sectPr>
      <w:headerReference r:id="rId3" w:type="default"/>
      <w:footerReference r:id="rId4" w:type="default"/>
      <w:footerReference r:id="rId5"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24"/>
        <w:szCs w:val="24"/>
      </w:rPr>
    </w:pP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26</w:t>
    </w:r>
    <w:r>
      <w:rPr>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BFB9"/>
    <w:multiLevelType w:val="singleLevel"/>
    <w:tmpl w:val="59A3BFB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BA2"/>
    <w:rsid w:val="00032022"/>
    <w:rsid w:val="00035CD8"/>
    <w:rsid w:val="00040128"/>
    <w:rsid w:val="00040936"/>
    <w:rsid w:val="00043B9F"/>
    <w:rsid w:val="00067C6A"/>
    <w:rsid w:val="000917F8"/>
    <w:rsid w:val="00094F1B"/>
    <w:rsid w:val="000A1CA1"/>
    <w:rsid w:val="000C4622"/>
    <w:rsid w:val="00122D1D"/>
    <w:rsid w:val="00143BFE"/>
    <w:rsid w:val="00146FB9"/>
    <w:rsid w:val="0015017A"/>
    <w:rsid w:val="00172A27"/>
    <w:rsid w:val="0017312C"/>
    <w:rsid w:val="0018353F"/>
    <w:rsid w:val="00190659"/>
    <w:rsid w:val="001A6261"/>
    <w:rsid w:val="001B4E2D"/>
    <w:rsid w:val="001B645A"/>
    <w:rsid w:val="001C348C"/>
    <w:rsid w:val="001C3B7D"/>
    <w:rsid w:val="001E08F1"/>
    <w:rsid w:val="00221748"/>
    <w:rsid w:val="00232B57"/>
    <w:rsid w:val="00244332"/>
    <w:rsid w:val="00250834"/>
    <w:rsid w:val="002740FB"/>
    <w:rsid w:val="00290DA9"/>
    <w:rsid w:val="00296A93"/>
    <w:rsid w:val="002A0264"/>
    <w:rsid w:val="002A7E1A"/>
    <w:rsid w:val="002B25D0"/>
    <w:rsid w:val="002B29C9"/>
    <w:rsid w:val="002B7902"/>
    <w:rsid w:val="003003B5"/>
    <w:rsid w:val="0034778A"/>
    <w:rsid w:val="003514E6"/>
    <w:rsid w:val="00360835"/>
    <w:rsid w:val="003930B8"/>
    <w:rsid w:val="003A390B"/>
    <w:rsid w:val="003A4B75"/>
    <w:rsid w:val="003A7F1A"/>
    <w:rsid w:val="003B192B"/>
    <w:rsid w:val="003B2CD4"/>
    <w:rsid w:val="003B7D34"/>
    <w:rsid w:val="003D1764"/>
    <w:rsid w:val="004002A4"/>
    <w:rsid w:val="00411F36"/>
    <w:rsid w:val="0041636B"/>
    <w:rsid w:val="0042514E"/>
    <w:rsid w:val="004379E4"/>
    <w:rsid w:val="004637F2"/>
    <w:rsid w:val="0047651B"/>
    <w:rsid w:val="004922FF"/>
    <w:rsid w:val="004A33A0"/>
    <w:rsid w:val="004C6770"/>
    <w:rsid w:val="004E11D9"/>
    <w:rsid w:val="004E6A85"/>
    <w:rsid w:val="004F116D"/>
    <w:rsid w:val="004F40C9"/>
    <w:rsid w:val="00503EC6"/>
    <w:rsid w:val="00544AA1"/>
    <w:rsid w:val="00553436"/>
    <w:rsid w:val="005609A8"/>
    <w:rsid w:val="00575BFD"/>
    <w:rsid w:val="005843F8"/>
    <w:rsid w:val="00594D5C"/>
    <w:rsid w:val="0059591E"/>
    <w:rsid w:val="005A0A79"/>
    <w:rsid w:val="005A434D"/>
    <w:rsid w:val="005B48C6"/>
    <w:rsid w:val="00604133"/>
    <w:rsid w:val="00606029"/>
    <w:rsid w:val="0062216E"/>
    <w:rsid w:val="006258FE"/>
    <w:rsid w:val="00637C77"/>
    <w:rsid w:val="00642A1A"/>
    <w:rsid w:val="00646539"/>
    <w:rsid w:val="00663A96"/>
    <w:rsid w:val="00671903"/>
    <w:rsid w:val="00674C81"/>
    <w:rsid w:val="00690856"/>
    <w:rsid w:val="00692E8C"/>
    <w:rsid w:val="006A1909"/>
    <w:rsid w:val="006A2214"/>
    <w:rsid w:val="006C7D87"/>
    <w:rsid w:val="006D0A49"/>
    <w:rsid w:val="006E1BED"/>
    <w:rsid w:val="006F610D"/>
    <w:rsid w:val="007074AD"/>
    <w:rsid w:val="00720708"/>
    <w:rsid w:val="00722011"/>
    <w:rsid w:val="00751429"/>
    <w:rsid w:val="007656D6"/>
    <w:rsid w:val="007751D2"/>
    <w:rsid w:val="0079048B"/>
    <w:rsid w:val="007B618D"/>
    <w:rsid w:val="007D295C"/>
    <w:rsid w:val="007D7745"/>
    <w:rsid w:val="008366DC"/>
    <w:rsid w:val="00846913"/>
    <w:rsid w:val="00851912"/>
    <w:rsid w:val="00853EC6"/>
    <w:rsid w:val="00855D0D"/>
    <w:rsid w:val="008618ED"/>
    <w:rsid w:val="008669E4"/>
    <w:rsid w:val="00870020"/>
    <w:rsid w:val="00871BDC"/>
    <w:rsid w:val="00877D19"/>
    <w:rsid w:val="008802C8"/>
    <w:rsid w:val="0089472E"/>
    <w:rsid w:val="008A3B86"/>
    <w:rsid w:val="008B43E7"/>
    <w:rsid w:val="008C23B1"/>
    <w:rsid w:val="008C4F2D"/>
    <w:rsid w:val="00905F2E"/>
    <w:rsid w:val="00911331"/>
    <w:rsid w:val="0092464B"/>
    <w:rsid w:val="009274E8"/>
    <w:rsid w:val="00960013"/>
    <w:rsid w:val="00963A22"/>
    <w:rsid w:val="00965848"/>
    <w:rsid w:val="00965AE3"/>
    <w:rsid w:val="009A5AB4"/>
    <w:rsid w:val="009A6334"/>
    <w:rsid w:val="009B39EF"/>
    <w:rsid w:val="009C18F2"/>
    <w:rsid w:val="009C3AC1"/>
    <w:rsid w:val="009C3B82"/>
    <w:rsid w:val="009F123B"/>
    <w:rsid w:val="00A036F6"/>
    <w:rsid w:val="00A03B9B"/>
    <w:rsid w:val="00A3732F"/>
    <w:rsid w:val="00A55C5B"/>
    <w:rsid w:val="00A91804"/>
    <w:rsid w:val="00AC145F"/>
    <w:rsid w:val="00AC7E8B"/>
    <w:rsid w:val="00AD2F9A"/>
    <w:rsid w:val="00AF6D57"/>
    <w:rsid w:val="00AF7511"/>
    <w:rsid w:val="00B00DC6"/>
    <w:rsid w:val="00B06BBE"/>
    <w:rsid w:val="00B132E7"/>
    <w:rsid w:val="00B276EB"/>
    <w:rsid w:val="00B3376D"/>
    <w:rsid w:val="00B34B88"/>
    <w:rsid w:val="00B36EC3"/>
    <w:rsid w:val="00B523A4"/>
    <w:rsid w:val="00B9064E"/>
    <w:rsid w:val="00BA1563"/>
    <w:rsid w:val="00BA54F0"/>
    <w:rsid w:val="00BC3F9B"/>
    <w:rsid w:val="00BF7A79"/>
    <w:rsid w:val="00C045DB"/>
    <w:rsid w:val="00C31B7A"/>
    <w:rsid w:val="00C31BFA"/>
    <w:rsid w:val="00C368CD"/>
    <w:rsid w:val="00C47B6B"/>
    <w:rsid w:val="00C6215B"/>
    <w:rsid w:val="00C6508D"/>
    <w:rsid w:val="00C85DA8"/>
    <w:rsid w:val="00C874BD"/>
    <w:rsid w:val="00C904A3"/>
    <w:rsid w:val="00CB28AB"/>
    <w:rsid w:val="00CC1D41"/>
    <w:rsid w:val="00CC71D2"/>
    <w:rsid w:val="00CE05DA"/>
    <w:rsid w:val="00CE49C5"/>
    <w:rsid w:val="00CF3588"/>
    <w:rsid w:val="00CF3B30"/>
    <w:rsid w:val="00D11A33"/>
    <w:rsid w:val="00D15DB6"/>
    <w:rsid w:val="00D16036"/>
    <w:rsid w:val="00D33BB4"/>
    <w:rsid w:val="00D41594"/>
    <w:rsid w:val="00D4550A"/>
    <w:rsid w:val="00D57D9D"/>
    <w:rsid w:val="00D6010D"/>
    <w:rsid w:val="00D70F06"/>
    <w:rsid w:val="00D73B9F"/>
    <w:rsid w:val="00D8178E"/>
    <w:rsid w:val="00D90FFA"/>
    <w:rsid w:val="00DA5317"/>
    <w:rsid w:val="00DC33CC"/>
    <w:rsid w:val="00E15DBC"/>
    <w:rsid w:val="00E35211"/>
    <w:rsid w:val="00E3651D"/>
    <w:rsid w:val="00E5694D"/>
    <w:rsid w:val="00E60E49"/>
    <w:rsid w:val="00E65962"/>
    <w:rsid w:val="00E85043"/>
    <w:rsid w:val="00E92BBB"/>
    <w:rsid w:val="00EA2FC9"/>
    <w:rsid w:val="00EA4057"/>
    <w:rsid w:val="00EA6E54"/>
    <w:rsid w:val="00EC2270"/>
    <w:rsid w:val="00EC25DF"/>
    <w:rsid w:val="00EC3D03"/>
    <w:rsid w:val="00EC4694"/>
    <w:rsid w:val="00EC7793"/>
    <w:rsid w:val="00EE4C24"/>
    <w:rsid w:val="00EE6A85"/>
    <w:rsid w:val="00F07CEA"/>
    <w:rsid w:val="00F24D53"/>
    <w:rsid w:val="00F41596"/>
    <w:rsid w:val="00F81FD0"/>
    <w:rsid w:val="00F83300"/>
    <w:rsid w:val="00F94729"/>
    <w:rsid w:val="00FC2B3B"/>
    <w:rsid w:val="00FE0CFB"/>
    <w:rsid w:val="00FE478D"/>
    <w:rsid w:val="010619F8"/>
    <w:rsid w:val="01277A0F"/>
    <w:rsid w:val="012A4802"/>
    <w:rsid w:val="01524C3A"/>
    <w:rsid w:val="01537586"/>
    <w:rsid w:val="019E196E"/>
    <w:rsid w:val="02512727"/>
    <w:rsid w:val="02D5708E"/>
    <w:rsid w:val="02DD5F7F"/>
    <w:rsid w:val="02E4403F"/>
    <w:rsid w:val="02E955B9"/>
    <w:rsid w:val="02F060FD"/>
    <w:rsid w:val="02F8190F"/>
    <w:rsid w:val="03027896"/>
    <w:rsid w:val="0311409A"/>
    <w:rsid w:val="038461D2"/>
    <w:rsid w:val="03B55E79"/>
    <w:rsid w:val="03BF6E1F"/>
    <w:rsid w:val="044D0110"/>
    <w:rsid w:val="04527622"/>
    <w:rsid w:val="0454574A"/>
    <w:rsid w:val="047374A4"/>
    <w:rsid w:val="04F67A1C"/>
    <w:rsid w:val="0511664D"/>
    <w:rsid w:val="051871D5"/>
    <w:rsid w:val="051B24CB"/>
    <w:rsid w:val="052741EA"/>
    <w:rsid w:val="052B389C"/>
    <w:rsid w:val="052D523F"/>
    <w:rsid w:val="053B68DB"/>
    <w:rsid w:val="05430B03"/>
    <w:rsid w:val="05717608"/>
    <w:rsid w:val="05826696"/>
    <w:rsid w:val="05870A23"/>
    <w:rsid w:val="0599066A"/>
    <w:rsid w:val="05C7544C"/>
    <w:rsid w:val="05F155AF"/>
    <w:rsid w:val="05F34896"/>
    <w:rsid w:val="0626753C"/>
    <w:rsid w:val="06402FA4"/>
    <w:rsid w:val="06C41F38"/>
    <w:rsid w:val="06C900C3"/>
    <w:rsid w:val="06F41F0C"/>
    <w:rsid w:val="07BB6EE6"/>
    <w:rsid w:val="07E80C06"/>
    <w:rsid w:val="082C32DB"/>
    <w:rsid w:val="088513D1"/>
    <w:rsid w:val="089939B0"/>
    <w:rsid w:val="089E3967"/>
    <w:rsid w:val="08EA5587"/>
    <w:rsid w:val="096C2866"/>
    <w:rsid w:val="09C449D7"/>
    <w:rsid w:val="09CF161C"/>
    <w:rsid w:val="09E2349F"/>
    <w:rsid w:val="09E8781A"/>
    <w:rsid w:val="0A224646"/>
    <w:rsid w:val="0A313D32"/>
    <w:rsid w:val="0A390D56"/>
    <w:rsid w:val="0A4F7104"/>
    <w:rsid w:val="0A7F7E4C"/>
    <w:rsid w:val="0AC75617"/>
    <w:rsid w:val="0AD40D3B"/>
    <w:rsid w:val="0ADE46DF"/>
    <w:rsid w:val="0AE7479B"/>
    <w:rsid w:val="0AF83733"/>
    <w:rsid w:val="0B0A147A"/>
    <w:rsid w:val="0B0B6400"/>
    <w:rsid w:val="0B5740AB"/>
    <w:rsid w:val="0B5F4F16"/>
    <w:rsid w:val="0B75570D"/>
    <w:rsid w:val="0B8837FA"/>
    <w:rsid w:val="0BAB61B9"/>
    <w:rsid w:val="0BBD255A"/>
    <w:rsid w:val="0BE01DD6"/>
    <w:rsid w:val="0C0720B1"/>
    <w:rsid w:val="0C104298"/>
    <w:rsid w:val="0C2F6CC8"/>
    <w:rsid w:val="0C563653"/>
    <w:rsid w:val="0C5665DC"/>
    <w:rsid w:val="0CAE4A93"/>
    <w:rsid w:val="0CB47230"/>
    <w:rsid w:val="0CC72C01"/>
    <w:rsid w:val="0CE85423"/>
    <w:rsid w:val="0CF07593"/>
    <w:rsid w:val="0D6F5EF5"/>
    <w:rsid w:val="0D892F66"/>
    <w:rsid w:val="0DB450DF"/>
    <w:rsid w:val="0DB86930"/>
    <w:rsid w:val="0DDF45E1"/>
    <w:rsid w:val="0DFC6898"/>
    <w:rsid w:val="0E045441"/>
    <w:rsid w:val="0E694718"/>
    <w:rsid w:val="0E8E23B1"/>
    <w:rsid w:val="0E9577BE"/>
    <w:rsid w:val="0ECF3734"/>
    <w:rsid w:val="0EEA7167"/>
    <w:rsid w:val="0F151111"/>
    <w:rsid w:val="0F424167"/>
    <w:rsid w:val="0F5566AC"/>
    <w:rsid w:val="0F592CF0"/>
    <w:rsid w:val="0F737ECE"/>
    <w:rsid w:val="0F766B8A"/>
    <w:rsid w:val="0FCA2195"/>
    <w:rsid w:val="0FE27E3E"/>
    <w:rsid w:val="101B7C76"/>
    <w:rsid w:val="101C48B9"/>
    <w:rsid w:val="102714A5"/>
    <w:rsid w:val="10474F93"/>
    <w:rsid w:val="10753833"/>
    <w:rsid w:val="108D36AA"/>
    <w:rsid w:val="10952E83"/>
    <w:rsid w:val="10AC4F47"/>
    <w:rsid w:val="10BB730C"/>
    <w:rsid w:val="10DC4993"/>
    <w:rsid w:val="11475D22"/>
    <w:rsid w:val="115E0CCE"/>
    <w:rsid w:val="117827A3"/>
    <w:rsid w:val="119E426B"/>
    <w:rsid w:val="11BD63D9"/>
    <w:rsid w:val="11C45712"/>
    <w:rsid w:val="11F42693"/>
    <w:rsid w:val="121C62B1"/>
    <w:rsid w:val="123575C2"/>
    <w:rsid w:val="12773F9B"/>
    <w:rsid w:val="128E5736"/>
    <w:rsid w:val="128F0FFF"/>
    <w:rsid w:val="12B56418"/>
    <w:rsid w:val="12C57875"/>
    <w:rsid w:val="12F02430"/>
    <w:rsid w:val="132857FA"/>
    <w:rsid w:val="133843DF"/>
    <w:rsid w:val="133F2EB4"/>
    <w:rsid w:val="1342173D"/>
    <w:rsid w:val="13EF18C7"/>
    <w:rsid w:val="141905E4"/>
    <w:rsid w:val="14296698"/>
    <w:rsid w:val="143C4BEB"/>
    <w:rsid w:val="144D09CC"/>
    <w:rsid w:val="14CA4477"/>
    <w:rsid w:val="151B0469"/>
    <w:rsid w:val="15213770"/>
    <w:rsid w:val="155F7B40"/>
    <w:rsid w:val="15A40CBA"/>
    <w:rsid w:val="15F97D76"/>
    <w:rsid w:val="16017D72"/>
    <w:rsid w:val="165805B2"/>
    <w:rsid w:val="16805027"/>
    <w:rsid w:val="16C8487D"/>
    <w:rsid w:val="17084FFC"/>
    <w:rsid w:val="17351728"/>
    <w:rsid w:val="1777293B"/>
    <w:rsid w:val="17BC58A0"/>
    <w:rsid w:val="18195525"/>
    <w:rsid w:val="1832337A"/>
    <w:rsid w:val="185B4565"/>
    <w:rsid w:val="188F0A0D"/>
    <w:rsid w:val="189C1B96"/>
    <w:rsid w:val="18AD316F"/>
    <w:rsid w:val="18D52233"/>
    <w:rsid w:val="18F7260D"/>
    <w:rsid w:val="193B7787"/>
    <w:rsid w:val="194C53C7"/>
    <w:rsid w:val="196D488E"/>
    <w:rsid w:val="19A65EEC"/>
    <w:rsid w:val="1A346D53"/>
    <w:rsid w:val="1A853FF9"/>
    <w:rsid w:val="1AA76688"/>
    <w:rsid w:val="1AAB1145"/>
    <w:rsid w:val="1AFC0397"/>
    <w:rsid w:val="1B140EFA"/>
    <w:rsid w:val="1B2D4DC1"/>
    <w:rsid w:val="1B4F34ED"/>
    <w:rsid w:val="1BA22823"/>
    <w:rsid w:val="1BA6630B"/>
    <w:rsid w:val="1BB76C26"/>
    <w:rsid w:val="1BCE5AD7"/>
    <w:rsid w:val="1C040951"/>
    <w:rsid w:val="1C06225A"/>
    <w:rsid w:val="1C2D7A34"/>
    <w:rsid w:val="1C3B795C"/>
    <w:rsid w:val="1C404B35"/>
    <w:rsid w:val="1C7533FD"/>
    <w:rsid w:val="1C9023BA"/>
    <w:rsid w:val="1D1A5F98"/>
    <w:rsid w:val="1D616B96"/>
    <w:rsid w:val="1D680C6E"/>
    <w:rsid w:val="1D8744CE"/>
    <w:rsid w:val="1DB150F5"/>
    <w:rsid w:val="1DBD7761"/>
    <w:rsid w:val="1DC3144C"/>
    <w:rsid w:val="1DC67367"/>
    <w:rsid w:val="1DE7613A"/>
    <w:rsid w:val="1E1A66FE"/>
    <w:rsid w:val="1E1D0D66"/>
    <w:rsid w:val="1E600EAF"/>
    <w:rsid w:val="1E6462BD"/>
    <w:rsid w:val="1EC41D72"/>
    <w:rsid w:val="1EC977DC"/>
    <w:rsid w:val="1EE25BC2"/>
    <w:rsid w:val="1EE4265A"/>
    <w:rsid w:val="1F1F3F21"/>
    <w:rsid w:val="1F8A2527"/>
    <w:rsid w:val="1F9427D3"/>
    <w:rsid w:val="1F970CB6"/>
    <w:rsid w:val="1FFE6608"/>
    <w:rsid w:val="205D250F"/>
    <w:rsid w:val="208C6B39"/>
    <w:rsid w:val="20C9132C"/>
    <w:rsid w:val="211B30F1"/>
    <w:rsid w:val="21876FD1"/>
    <w:rsid w:val="21B3439E"/>
    <w:rsid w:val="21DE0C6C"/>
    <w:rsid w:val="22086039"/>
    <w:rsid w:val="2240219D"/>
    <w:rsid w:val="22730F59"/>
    <w:rsid w:val="22C44E6F"/>
    <w:rsid w:val="22CD3924"/>
    <w:rsid w:val="22DB3122"/>
    <w:rsid w:val="22E207A2"/>
    <w:rsid w:val="230E7727"/>
    <w:rsid w:val="231A5557"/>
    <w:rsid w:val="231C7A63"/>
    <w:rsid w:val="234430F2"/>
    <w:rsid w:val="234B1049"/>
    <w:rsid w:val="236415C1"/>
    <w:rsid w:val="238D484E"/>
    <w:rsid w:val="23C17003"/>
    <w:rsid w:val="23D419A3"/>
    <w:rsid w:val="23EA5E25"/>
    <w:rsid w:val="24286279"/>
    <w:rsid w:val="24307512"/>
    <w:rsid w:val="24416193"/>
    <w:rsid w:val="24661ACF"/>
    <w:rsid w:val="24693205"/>
    <w:rsid w:val="246B1D47"/>
    <w:rsid w:val="24907776"/>
    <w:rsid w:val="249A18F8"/>
    <w:rsid w:val="24DB49C1"/>
    <w:rsid w:val="24E2151D"/>
    <w:rsid w:val="24F1327B"/>
    <w:rsid w:val="257061C4"/>
    <w:rsid w:val="257D033D"/>
    <w:rsid w:val="25D11949"/>
    <w:rsid w:val="25D74394"/>
    <w:rsid w:val="26366CBC"/>
    <w:rsid w:val="26423331"/>
    <w:rsid w:val="26585E6A"/>
    <w:rsid w:val="26845D6C"/>
    <w:rsid w:val="26B07B1E"/>
    <w:rsid w:val="26BE2548"/>
    <w:rsid w:val="26CA1E18"/>
    <w:rsid w:val="26D62AA5"/>
    <w:rsid w:val="27547B48"/>
    <w:rsid w:val="275C5B63"/>
    <w:rsid w:val="275E3768"/>
    <w:rsid w:val="27761E27"/>
    <w:rsid w:val="27835BB9"/>
    <w:rsid w:val="27A44AC3"/>
    <w:rsid w:val="27B21A48"/>
    <w:rsid w:val="27D23B20"/>
    <w:rsid w:val="28191ACE"/>
    <w:rsid w:val="28276D1F"/>
    <w:rsid w:val="282D6A6F"/>
    <w:rsid w:val="289C607D"/>
    <w:rsid w:val="28AE3BB7"/>
    <w:rsid w:val="28B57D13"/>
    <w:rsid w:val="28CA3AD3"/>
    <w:rsid w:val="28CB56E1"/>
    <w:rsid w:val="28D60D42"/>
    <w:rsid w:val="291F6175"/>
    <w:rsid w:val="296229F0"/>
    <w:rsid w:val="29802072"/>
    <w:rsid w:val="29F73FBD"/>
    <w:rsid w:val="2A06061C"/>
    <w:rsid w:val="2A310C88"/>
    <w:rsid w:val="2A893646"/>
    <w:rsid w:val="2A8B5DE8"/>
    <w:rsid w:val="2AD2305F"/>
    <w:rsid w:val="2B187188"/>
    <w:rsid w:val="2B6144B1"/>
    <w:rsid w:val="2B6C2777"/>
    <w:rsid w:val="2BDC3DD4"/>
    <w:rsid w:val="2C4E3F27"/>
    <w:rsid w:val="2C5D75A8"/>
    <w:rsid w:val="2C785FF7"/>
    <w:rsid w:val="2C993F53"/>
    <w:rsid w:val="2CA70E4D"/>
    <w:rsid w:val="2CCE6D71"/>
    <w:rsid w:val="2CD71658"/>
    <w:rsid w:val="2D8108C3"/>
    <w:rsid w:val="2DE8189C"/>
    <w:rsid w:val="2DF24342"/>
    <w:rsid w:val="2DFF5EA1"/>
    <w:rsid w:val="2E2B1EC7"/>
    <w:rsid w:val="2E4B434F"/>
    <w:rsid w:val="2E883F90"/>
    <w:rsid w:val="2EA377B1"/>
    <w:rsid w:val="2EDE12A2"/>
    <w:rsid w:val="2F090595"/>
    <w:rsid w:val="2F1D7810"/>
    <w:rsid w:val="2F2250A6"/>
    <w:rsid w:val="2F2F4D18"/>
    <w:rsid w:val="2F7434C7"/>
    <w:rsid w:val="2F923A54"/>
    <w:rsid w:val="2FB61EEE"/>
    <w:rsid w:val="2FCB3C0C"/>
    <w:rsid w:val="2FF04166"/>
    <w:rsid w:val="302209E7"/>
    <w:rsid w:val="303E6D9A"/>
    <w:rsid w:val="30814EBD"/>
    <w:rsid w:val="30996451"/>
    <w:rsid w:val="30AE4BE1"/>
    <w:rsid w:val="30CA33FD"/>
    <w:rsid w:val="30E90803"/>
    <w:rsid w:val="310972B7"/>
    <w:rsid w:val="310B3A88"/>
    <w:rsid w:val="315C2682"/>
    <w:rsid w:val="31804833"/>
    <w:rsid w:val="3198045B"/>
    <w:rsid w:val="319D2DBE"/>
    <w:rsid w:val="31D12ECB"/>
    <w:rsid w:val="31D523A3"/>
    <w:rsid w:val="31DA1818"/>
    <w:rsid w:val="322A1164"/>
    <w:rsid w:val="326B1080"/>
    <w:rsid w:val="32704157"/>
    <w:rsid w:val="327E4B56"/>
    <w:rsid w:val="328B0FBA"/>
    <w:rsid w:val="32DF7308"/>
    <w:rsid w:val="32E13244"/>
    <w:rsid w:val="33094C23"/>
    <w:rsid w:val="331A3425"/>
    <w:rsid w:val="33531C2E"/>
    <w:rsid w:val="33545A2E"/>
    <w:rsid w:val="337F7621"/>
    <w:rsid w:val="338E7C30"/>
    <w:rsid w:val="33DF4972"/>
    <w:rsid w:val="33F27013"/>
    <w:rsid w:val="340B5C28"/>
    <w:rsid w:val="341322E2"/>
    <w:rsid w:val="341B0B1A"/>
    <w:rsid w:val="3438030C"/>
    <w:rsid w:val="34451721"/>
    <w:rsid w:val="347E4481"/>
    <w:rsid w:val="34EC402E"/>
    <w:rsid w:val="34F76D16"/>
    <w:rsid w:val="34FE5209"/>
    <w:rsid w:val="352470A4"/>
    <w:rsid w:val="35696EB0"/>
    <w:rsid w:val="3597412C"/>
    <w:rsid w:val="359F06BE"/>
    <w:rsid w:val="359F4EDC"/>
    <w:rsid w:val="35A559A6"/>
    <w:rsid w:val="35BF782C"/>
    <w:rsid w:val="35CA3B19"/>
    <w:rsid w:val="35F62242"/>
    <w:rsid w:val="360A220D"/>
    <w:rsid w:val="36715FCA"/>
    <w:rsid w:val="367C2D7E"/>
    <w:rsid w:val="36CF60A4"/>
    <w:rsid w:val="370A77D9"/>
    <w:rsid w:val="37601F79"/>
    <w:rsid w:val="376F7606"/>
    <w:rsid w:val="37A8265E"/>
    <w:rsid w:val="37C315DE"/>
    <w:rsid w:val="37D41ECB"/>
    <w:rsid w:val="37D557F1"/>
    <w:rsid w:val="38023C4F"/>
    <w:rsid w:val="381162C4"/>
    <w:rsid w:val="384050A4"/>
    <w:rsid w:val="38A32326"/>
    <w:rsid w:val="38D7365D"/>
    <w:rsid w:val="39574E1D"/>
    <w:rsid w:val="396C6687"/>
    <w:rsid w:val="39830C71"/>
    <w:rsid w:val="398A0C3D"/>
    <w:rsid w:val="398B1E48"/>
    <w:rsid w:val="39B1332C"/>
    <w:rsid w:val="39C21F5E"/>
    <w:rsid w:val="39C91367"/>
    <w:rsid w:val="39E95060"/>
    <w:rsid w:val="3A2974F3"/>
    <w:rsid w:val="3A435082"/>
    <w:rsid w:val="3A567C1B"/>
    <w:rsid w:val="3A5C368D"/>
    <w:rsid w:val="3AA1601D"/>
    <w:rsid w:val="3AEB78EF"/>
    <w:rsid w:val="3AF44F55"/>
    <w:rsid w:val="3B595BB7"/>
    <w:rsid w:val="3B8E385C"/>
    <w:rsid w:val="3BA72ECC"/>
    <w:rsid w:val="3BDD1FF3"/>
    <w:rsid w:val="3C0E6E60"/>
    <w:rsid w:val="3C0F73EB"/>
    <w:rsid w:val="3C162C32"/>
    <w:rsid w:val="3D001E58"/>
    <w:rsid w:val="3D2D6D39"/>
    <w:rsid w:val="3D6561DC"/>
    <w:rsid w:val="3DA86718"/>
    <w:rsid w:val="3DB3328D"/>
    <w:rsid w:val="3DEE1ED6"/>
    <w:rsid w:val="3DF42E07"/>
    <w:rsid w:val="3E0057E1"/>
    <w:rsid w:val="3E031150"/>
    <w:rsid w:val="3E137E39"/>
    <w:rsid w:val="3E351227"/>
    <w:rsid w:val="3E463B0B"/>
    <w:rsid w:val="3E48462D"/>
    <w:rsid w:val="3E9912D7"/>
    <w:rsid w:val="3EA80FFB"/>
    <w:rsid w:val="3EA83F69"/>
    <w:rsid w:val="3EBE3F60"/>
    <w:rsid w:val="3F013945"/>
    <w:rsid w:val="3F482BBC"/>
    <w:rsid w:val="3F483DFB"/>
    <w:rsid w:val="3FAE497B"/>
    <w:rsid w:val="3FB42629"/>
    <w:rsid w:val="3FD37C7F"/>
    <w:rsid w:val="408F45A0"/>
    <w:rsid w:val="409A3315"/>
    <w:rsid w:val="40ED5B25"/>
    <w:rsid w:val="41397AD7"/>
    <w:rsid w:val="41481150"/>
    <w:rsid w:val="415A7D83"/>
    <w:rsid w:val="41616C0F"/>
    <w:rsid w:val="41702FA4"/>
    <w:rsid w:val="41A61004"/>
    <w:rsid w:val="41D263F7"/>
    <w:rsid w:val="41FC077B"/>
    <w:rsid w:val="420F013D"/>
    <w:rsid w:val="42162B56"/>
    <w:rsid w:val="424E4CAB"/>
    <w:rsid w:val="42AC199D"/>
    <w:rsid w:val="42B62345"/>
    <w:rsid w:val="42BA4193"/>
    <w:rsid w:val="42E26204"/>
    <w:rsid w:val="42E31579"/>
    <w:rsid w:val="42EA65DD"/>
    <w:rsid w:val="42EA72F5"/>
    <w:rsid w:val="430530E3"/>
    <w:rsid w:val="430821F3"/>
    <w:rsid w:val="432C6E4F"/>
    <w:rsid w:val="433A176E"/>
    <w:rsid w:val="43987042"/>
    <w:rsid w:val="43A576F6"/>
    <w:rsid w:val="43DF01B9"/>
    <w:rsid w:val="440F6406"/>
    <w:rsid w:val="441A57F0"/>
    <w:rsid w:val="4426011B"/>
    <w:rsid w:val="445919D5"/>
    <w:rsid w:val="4494043E"/>
    <w:rsid w:val="44996F8D"/>
    <w:rsid w:val="44C73834"/>
    <w:rsid w:val="45410500"/>
    <w:rsid w:val="456177DC"/>
    <w:rsid w:val="45A42759"/>
    <w:rsid w:val="45E1729D"/>
    <w:rsid w:val="45EF256F"/>
    <w:rsid w:val="462D6BFC"/>
    <w:rsid w:val="462F3281"/>
    <w:rsid w:val="46416C19"/>
    <w:rsid w:val="46834EE0"/>
    <w:rsid w:val="46965794"/>
    <w:rsid w:val="46B1499C"/>
    <w:rsid w:val="46B5570D"/>
    <w:rsid w:val="46C813B4"/>
    <w:rsid w:val="47212A4E"/>
    <w:rsid w:val="47324611"/>
    <w:rsid w:val="473651CA"/>
    <w:rsid w:val="47730A56"/>
    <w:rsid w:val="47987E34"/>
    <w:rsid w:val="47AF64BE"/>
    <w:rsid w:val="47DB20CE"/>
    <w:rsid w:val="48111BE5"/>
    <w:rsid w:val="48843C86"/>
    <w:rsid w:val="48AE6ABE"/>
    <w:rsid w:val="490447B2"/>
    <w:rsid w:val="4908238C"/>
    <w:rsid w:val="4922311F"/>
    <w:rsid w:val="49463116"/>
    <w:rsid w:val="496726AE"/>
    <w:rsid w:val="49931CAD"/>
    <w:rsid w:val="49AC0339"/>
    <w:rsid w:val="49B4085F"/>
    <w:rsid w:val="49D823A0"/>
    <w:rsid w:val="4A427FCD"/>
    <w:rsid w:val="4A50229A"/>
    <w:rsid w:val="4A5924CE"/>
    <w:rsid w:val="4A626D2D"/>
    <w:rsid w:val="4A692849"/>
    <w:rsid w:val="4A8165C3"/>
    <w:rsid w:val="4A8348E4"/>
    <w:rsid w:val="4A93065E"/>
    <w:rsid w:val="4AA32557"/>
    <w:rsid w:val="4AA65E43"/>
    <w:rsid w:val="4AF4246B"/>
    <w:rsid w:val="4B045B54"/>
    <w:rsid w:val="4B7D5903"/>
    <w:rsid w:val="4BDE1E1F"/>
    <w:rsid w:val="4BFD0547"/>
    <w:rsid w:val="4C1752A4"/>
    <w:rsid w:val="4C5D390D"/>
    <w:rsid w:val="4C6137DD"/>
    <w:rsid w:val="4CA60759"/>
    <w:rsid w:val="4CFA77FA"/>
    <w:rsid w:val="4D20351E"/>
    <w:rsid w:val="4D533502"/>
    <w:rsid w:val="4D6133CD"/>
    <w:rsid w:val="4DB14EC1"/>
    <w:rsid w:val="4DB7498C"/>
    <w:rsid w:val="4DFB223C"/>
    <w:rsid w:val="4E68061A"/>
    <w:rsid w:val="4EAD002A"/>
    <w:rsid w:val="4EC25C81"/>
    <w:rsid w:val="4EE927D8"/>
    <w:rsid w:val="4F094BFC"/>
    <w:rsid w:val="4F0A1DF7"/>
    <w:rsid w:val="4F1042D0"/>
    <w:rsid w:val="4F1B679C"/>
    <w:rsid w:val="4FA82CC4"/>
    <w:rsid w:val="4FBC1B2E"/>
    <w:rsid w:val="4FC31843"/>
    <w:rsid w:val="4FCE101A"/>
    <w:rsid w:val="50381AF7"/>
    <w:rsid w:val="503E7EC1"/>
    <w:rsid w:val="505F636D"/>
    <w:rsid w:val="50920716"/>
    <w:rsid w:val="509447D7"/>
    <w:rsid w:val="509B56B1"/>
    <w:rsid w:val="50A414F0"/>
    <w:rsid w:val="50E10F9B"/>
    <w:rsid w:val="51522553"/>
    <w:rsid w:val="516A2693"/>
    <w:rsid w:val="517612A0"/>
    <w:rsid w:val="519E747D"/>
    <w:rsid w:val="51EE6F07"/>
    <w:rsid w:val="51F15944"/>
    <w:rsid w:val="5215589A"/>
    <w:rsid w:val="522459C9"/>
    <w:rsid w:val="524C69BA"/>
    <w:rsid w:val="528C2B76"/>
    <w:rsid w:val="52E75BF3"/>
    <w:rsid w:val="531A0396"/>
    <w:rsid w:val="532072AE"/>
    <w:rsid w:val="533919FE"/>
    <w:rsid w:val="53466294"/>
    <w:rsid w:val="538D1A42"/>
    <w:rsid w:val="539C7B2A"/>
    <w:rsid w:val="53AE0147"/>
    <w:rsid w:val="543E3F11"/>
    <w:rsid w:val="544515E3"/>
    <w:rsid w:val="54826A62"/>
    <w:rsid w:val="548F3163"/>
    <w:rsid w:val="54F058CD"/>
    <w:rsid w:val="55453B79"/>
    <w:rsid w:val="554E56A6"/>
    <w:rsid w:val="5556627F"/>
    <w:rsid w:val="55A822B1"/>
    <w:rsid w:val="55C92C36"/>
    <w:rsid w:val="563831FD"/>
    <w:rsid w:val="568214D0"/>
    <w:rsid w:val="56F53C76"/>
    <w:rsid w:val="571C7A19"/>
    <w:rsid w:val="571F46FF"/>
    <w:rsid w:val="572649DB"/>
    <w:rsid w:val="57B12456"/>
    <w:rsid w:val="57C66E20"/>
    <w:rsid w:val="57EA7BAF"/>
    <w:rsid w:val="584727D2"/>
    <w:rsid w:val="588165CD"/>
    <w:rsid w:val="58874B47"/>
    <w:rsid w:val="58B75319"/>
    <w:rsid w:val="58D11BE3"/>
    <w:rsid w:val="58FA0CA5"/>
    <w:rsid w:val="59036C15"/>
    <w:rsid w:val="593A45A6"/>
    <w:rsid w:val="5963107E"/>
    <w:rsid w:val="596C1544"/>
    <w:rsid w:val="597E32E2"/>
    <w:rsid w:val="598D6EE2"/>
    <w:rsid w:val="59970D8F"/>
    <w:rsid w:val="59C45521"/>
    <w:rsid w:val="59E5295E"/>
    <w:rsid w:val="5A332D12"/>
    <w:rsid w:val="5A3E66EF"/>
    <w:rsid w:val="5A976FDE"/>
    <w:rsid w:val="5AF016FA"/>
    <w:rsid w:val="5B1C13EA"/>
    <w:rsid w:val="5B1E7C7E"/>
    <w:rsid w:val="5B7A1ADB"/>
    <w:rsid w:val="5BA91866"/>
    <w:rsid w:val="5BCB122D"/>
    <w:rsid w:val="5BFF2109"/>
    <w:rsid w:val="5C0A3150"/>
    <w:rsid w:val="5C24081D"/>
    <w:rsid w:val="5C4F56B6"/>
    <w:rsid w:val="5C5716AD"/>
    <w:rsid w:val="5C584068"/>
    <w:rsid w:val="5C6B2996"/>
    <w:rsid w:val="5C785A96"/>
    <w:rsid w:val="5CAC0D2F"/>
    <w:rsid w:val="5CC568D3"/>
    <w:rsid w:val="5CD80325"/>
    <w:rsid w:val="5D7517FD"/>
    <w:rsid w:val="5D7D293E"/>
    <w:rsid w:val="5DA42B23"/>
    <w:rsid w:val="5DA64AE5"/>
    <w:rsid w:val="5E08708F"/>
    <w:rsid w:val="5E54741F"/>
    <w:rsid w:val="5E825BFA"/>
    <w:rsid w:val="5E9F7874"/>
    <w:rsid w:val="5EB37CD8"/>
    <w:rsid w:val="5ED20606"/>
    <w:rsid w:val="5EE42F5F"/>
    <w:rsid w:val="5F0F2945"/>
    <w:rsid w:val="5F106036"/>
    <w:rsid w:val="5FBC4675"/>
    <w:rsid w:val="5FD279F2"/>
    <w:rsid w:val="600261EF"/>
    <w:rsid w:val="60204FA2"/>
    <w:rsid w:val="6047223B"/>
    <w:rsid w:val="60601E70"/>
    <w:rsid w:val="60702A17"/>
    <w:rsid w:val="60B42162"/>
    <w:rsid w:val="60B556B0"/>
    <w:rsid w:val="60D95F3F"/>
    <w:rsid w:val="610F7737"/>
    <w:rsid w:val="6149308C"/>
    <w:rsid w:val="615A484A"/>
    <w:rsid w:val="615F2C0B"/>
    <w:rsid w:val="61C42CE8"/>
    <w:rsid w:val="620B7FEE"/>
    <w:rsid w:val="621C28B5"/>
    <w:rsid w:val="623F298F"/>
    <w:rsid w:val="624D1AA9"/>
    <w:rsid w:val="627B00EA"/>
    <w:rsid w:val="628D6BB4"/>
    <w:rsid w:val="62C070F2"/>
    <w:rsid w:val="62D86D8D"/>
    <w:rsid w:val="62E041EB"/>
    <w:rsid w:val="63025BD1"/>
    <w:rsid w:val="635D7EC7"/>
    <w:rsid w:val="636A6E46"/>
    <w:rsid w:val="6395242E"/>
    <w:rsid w:val="639610D7"/>
    <w:rsid w:val="63A27441"/>
    <w:rsid w:val="63D56134"/>
    <w:rsid w:val="63EF549E"/>
    <w:rsid w:val="641D14C6"/>
    <w:rsid w:val="64362B26"/>
    <w:rsid w:val="649F1FE9"/>
    <w:rsid w:val="64B92F02"/>
    <w:rsid w:val="64BA2E1A"/>
    <w:rsid w:val="64D6082D"/>
    <w:rsid w:val="651E52DE"/>
    <w:rsid w:val="651E6F35"/>
    <w:rsid w:val="6554524F"/>
    <w:rsid w:val="65557198"/>
    <w:rsid w:val="656C0961"/>
    <w:rsid w:val="65780FB1"/>
    <w:rsid w:val="65EA7C7D"/>
    <w:rsid w:val="66157A6D"/>
    <w:rsid w:val="661A7564"/>
    <w:rsid w:val="66331C29"/>
    <w:rsid w:val="665504B2"/>
    <w:rsid w:val="665F60BE"/>
    <w:rsid w:val="667257EE"/>
    <w:rsid w:val="667D6C00"/>
    <w:rsid w:val="66807CB2"/>
    <w:rsid w:val="668711A9"/>
    <w:rsid w:val="66CA07D8"/>
    <w:rsid w:val="67A04D4D"/>
    <w:rsid w:val="67CC3D1D"/>
    <w:rsid w:val="68651012"/>
    <w:rsid w:val="68A8262E"/>
    <w:rsid w:val="68D51878"/>
    <w:rsid w:val="68EC50BB"/>
    <w:rsid w:val="68F95728"/>
    <w:rsid w:val="69545BF3"/>
    <w:rsid w:val="695B7071"/>
    <w:rsid w:val="69BB746B"/>
    <w:rsid w:val="69E170BB"/>
    <w:rsid w:val="6A0050E1"/>
    <w:rsid w:val="6A1B598E"/>
    <w:rsid w:val="6A2D7E86"/>
    <w:rsid w:val="6A3D66B1"/>
    <w:rsid w:val="6A6522DA"/>
    <w:rsid w:val="6A6C5530"/>
    <w:rsid w:val="6A7A7A88"/>
    <w:rsid w:val="6A982F01"/>
    <w:rsid w:val="6ABD5106"/>
    <w:rsid w:val="6ACE4F18"/>
    <w:rsid w:val="6AD25930"/>
    <w:rsid w:val="6B1721DF"/>
    <w:rsid w:val="6B214AC1"/>
    <w:rsid w:val="6B3A767A"/>
    <w:rsid w:val="6B3D3885"/>
    <w:rsid w:val="6B754E93"/>
    <w:rsid w:val="6B8C5C82"/>
    <w:rsid w:val="6C1A1732"/>
    <w:rsid w:val="6C2F265E"/>
    <w:rsid w:val="6C79208A"/>
    <w:rsid w:val="6C9A5205"/>
    <w:rsid w:val="6CE560FE"/>
    <w:rsid w:val="6D0A4B65"/>
    <w:rsid w:val="6D3224AE"/>
    <w:rsid w:val="6D51564F"/>
    <w:rsid w:val="6D6F36DA"/>
    <w:rsid w:val="6D992559"/>
    <w:rsid w:val="6DA809E4"/>
    <w:rsid w:val="6DC41234"/>
    <w:rsid w:val="6DCC568F"/>
    <w:rsid w:val="6E006C7C"/>
    <w:rsid w:val="6E0E6511"/>
    <w:rsid w:val="6E203D07"/>
    <w:rsid w:val="6E352F88"/>
    <w:rsid w:val="6E597EBD"/>
    <w:rsid w:val="6E6E365C"/>
    <w:rsid w:val="6E7F07FE"/>
    <w:rsid w:val="6E8350C3"/>
    <w:rsid w:val="6EDE22A0"/>
    <w:rsid w:val="6EEB57A3"/>
    <w:rsid w:val="6F13457D"/>
    <w:rsid w:val="6F331E0A"/>
    <w:rsid w:val="6F3428C8"/>
    <w:rsid w:val="6F4E0775"/>
    <w:rsid w:val="6F541229"/>
    <w:rsid w:val="6F5D4304"/>
    <w:rsid w:val="6FA15D5A"/>
    <w:rsid w:val="706362AF"/>
    <w:rsid w:val="709C1ABA"/>
    <w:rsid w:val="70F05FA3"/>
    <w:rsid w:val="71312DEB"/>
    <w:rsid w:val="713C6E23"/>
    <w:rsid w:val="714F4FF6"/>
    <w:rsid w:val="71895554"/>
    <w:rsid w:val="71B21B09"/>
    <w:rsid w:val="72071F75"/>
    <w:rsid w:val="725121ED"/>
    <w:rsid w:val="72743EE6"/>
    <w:rsid w:val="72886EE6"/>
    <w:rsid w:val="72A66C1E"/>
    <w:rsid w:val="72B67250"/>
    <w:rsid w:val="731565AD"/>
    <w:rsid w:val="731D692A"/>
    <w:rsid w:val="73321B37"/>
    <w:rsid w:val="7335584A"/>
    <w:rsid w:val="73447683"/>
    <w:rsid w:val="73620707"/>
    <w:rsid w:val="73701D46"/>
    <w:rsid w:val="73D163A5"/>
    <w:rsid w:val="73D648F9"/>
    <w:rsid w:val="7407257E"/>
    <w:rsid w:val="74BF7BB8"/>
    <w:rsid w:val="754E7636"/>
    <w:rsid w:val="75635B75"/>
    <w:rsid w:val="758A75C1"/>
    <w:rsid w:val="75E74CBD"/>
    <w:rsid w:val="7600428C"/>
    <w:rsid w:val="76236DCA"/>
    <w:rsid w:val="76490F9C"/>
    <w:rsid w:val="76683BDC"/>
    <w:rsid w:val="76820CDC"/>
    <w:rsid w:val="76DD2454"/>
    <w:rsid w:val="76F04027"/>
    <w:rsid w:val="76FA5559"/>
    <w:rsid w:val="770433D8"/>
    <w:rsid w:val="771706C8"/>
    <w:rsid w:val="77C05384"/>
    <w:rsid w:val="77D9152F"/>
    <w:rsid w:val="77E7134A"/>
    <w:rsid w:val="77F0105A"/>
    <w:rsid w:val="77FA02B1"/>
    <w:rsid w:val="78321DDC"/>
    <w:rsid w:val="78394F49"/>
    <w:rsid w:val="7A0934FD"/>
    <w:rsid w:val="7A2F5ECA"/>
    <w:rsid w:val="7A3A4842"/>
    <w:rsid w:val="7A647104"/>
    <w:rsid w:val="7A777726"/>
    <w:rsid w:val="7AE05CE5"/>
    <w:rsid w:val="7AE2355E"/>
    <w:rsid w:val="7AFD1693"/>
    <w:rsid w:val="7B031D25"/>
    <w:rsid w:val="7B0B6938"/>
    <w:rsid w:val="7B1422F6"/>
    <w:rsid w:val="7B6E03D5"/>
    <w:rsid w:val="7B7B1E70"/>
    <w:rsid w:val="7B811220"/>
    <w:rsid w:val="7B9A5169"/>
    <w:rsid w:val="7B9C263F"/>
    <w:rsid w:val="7BB11B00"/>
    <w:rsid w:val="7BBB4B5A"/>
    <w:rsid w:val="7C044EA1"/>
    <w:rsid w:val="7C132529"/>
    <w:rsid w:val="7C403180"/>
    <w:rsid w:val="7C664166"/>
    <w:rsid w:val="7C7B66DD"/>
    <w:rsid w:val="7C943884"/>
    <w:rsid w:val="7C96786F"/>
    <w:rsid w:val="7CE76A43"/>
    <w:rsid w:val="7D41079F"/>
    <w:rsid w:val="7D770AFB"/>
    <w:rsid w:val="7D8061A2"/>
    <w:rsid w:val="7D935181"/>
    <w:rsid w:val="7D9B4A39"/>
    <w:rsid w:val="7DF42319"/>
    <w:rsid w:val="7DF74288"/>
    <w:rsid w:val="7DFA66D3"/>
    <w:rsid w:val="7E165B3B"/>
    <w:rsid w:val="7E1D0F12"/>
    <w:rsid w:val="7E772B25"/>
    <w:rsid w:val="7E8B0876"/>
    <w:rsid w:val="7EAA4A5A"/>
    <w:rsid w:val="7EEE3014"/>
    <w:rsid w:val="7F3155A2"/>
    <w:rsid w:val="7F3B473B"/>
    <w:rsid w:val="7F9D306F"/>
    <w:rsid w:val="7FCB5CBC"/>
    <w:rsid w:val="7FE0291C"/>
    <w:rsid w:val="7FEB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qFormat/>
    <w:uiPriority w:val="0"/>
    <w:rPr>
      <w:b/>
      <w:bCs/>
    </w:rPr>
  </w:style>
  <w:style w:type="character" w:styleId="9">
    <w:name w:val="page number"/>
    <w:basedOn w:val="8"/>
    <w:qFormat/>
    <w:uiPriority w:val="0"/>
  </w:style>
  <w:style w:type="character" w:styleId="10">
    <w:name w:val="annotation reference"/>
    <w:qFormat/>
    <w:uiPriority w:val="0"/>
    <w:rPr>
      <w:sz w:val="21"/>
      <w:szCs w:val="21"/>
    </w:rPr>
  </w:style>
  <w:style w:type="paragraph" w:customStyle="1" w:styleId="11">
    <w:name w:val="列出段落1"/>
    <w:basedOn w:val="1"/>
    <w:qFormat/>
    <w:uiPriority w:val="99"/>
    <w:pPr>
      <w:ind w:firstLine="420" w:firstLineChars="200"/>
    </w:p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90D89-DB5C-46F3-9643-F1866D64FC6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820</Words>
  <Characters>4678</Characters>
  <Lines>38</Lines>
  <Paragraphs>10</Paragraphs>
  <TotalTime>273</TotalTime>
  <ScaleCrop>false</ScaleCrop>
  <LinksUpToDate>false</LinksUpToDate>
  <CharactersWithSpaces>5488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2020-06-01T04:26:00Z</dcterms:created>
  <dc:creator>微软用户</dc:creator>
  <cp:lastModifiedBy>Administrator</cp:lastModifiedBy>
  <cp:lastPrinted>2022-10-08T03:17:00Z</cp:lastPrinted>
  <dcterms:modified xsi:type="dcterms:W3CDTF">2022-10-12T02:30:04Z</dcterms:modified>
  <dc:title>2013年度西藏自治区教育厅</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