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23" w:rsidRDefault="00532B23">
      <w:pPr>
        <w:adjustRightInd/>
        <w:snapToGrid/>
        <w:spacing w:after="225" w:line="480" w:lineRule="atLeast"/>
        <w:jc w:val="center"/>
        <w:rPr>
          <w:rFonts w:ascii="宋体" w:eastAsia="宋体" w:hAnsi="宋体" w:cs="宋体"/>
          <w:sz w:val="52"/>
          <w:szCs w:val="52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宋体" w:eastAsia="宋体" w:hAnsi="宋体" w:cs="宋体"/>
          <w:sz w:val="52"/>
          <w:szCs w:val="52"/>
        </w:rPr>
      </w:pPr>
    </w:p>
    <w:p w:rsidR="00532B23" w:rsidRPr="00DA6EED" w:rsidRDefault="00532B23">
      <w:pPr>
        <w:adjustRightInd/>
        <w:snapToGrid/>
        <w:spacing w:after="225" w:line="480" w:lineRule="atLeast"/>
        <w:jc w:val="center"/>
        <w:rPr>
          <w:rFonts w:asciiTheme="majorEastAsia" w:eastAsiaTheme="majorEastAsia" w:hAnsiTheme="majorEastAsia" w:cs="宋体"/>
          <w:b/>
          <w:sz w:val="48"/>
          <w:szCs w:val="48"/>
        </w:rPr>
      </w:pPr>
      <w:r w:rsidRPr="00DA6EED">
        <w:rPr>
          <w:rFonts w:asciiTheme="majorEastAsia" w:eastAsiaTheme="majorEastAsia" w:hAnsiTheme="majorEastAsia" w:cs="宋体" w:hint="eastAsia"/>
          <w:b/>
          <w:sz w:val="48"/>
          <w:szCs w:val="48"/>
        </w:rPr>
        <w:t>朗县外事办</w:t>
      </w:r>
      <w:r w:rsidR="0091457C" w:rsidRPr="00DA6EED">
        <w:rPr>
          <w:rFonts w:asciiTheme="majorEastAsia" w:eastAsiaTheme="majorEastAsia" w:hAnsiTheme="majorEastAsia" w:cs="宋体"/>
          <w:b/>
          <w:sz w:val="48"/>
          <w:szCs w:val="48"/>
        </w:rPr>
        <w:t>202</w:t>
      </w:r>
      <w:r w:rsidR="0091457C" w:rsidRPr="00DA6EED">
        <w:rPr>
          <w:rFonts w:asciiTheme="majorEastAsia" w:eastAsiaTheme="majorEastAsia" w:hAnsiTheme="majorEastAsia" w:cs="宋体" w:hint="eastAsia"/>
          <w:b/>
          <w:sz w:val="48"/>
          <w:szCs w:val="48"/>
        </w:rPr>
        <w:t>2</w:t>
      </w:r>
      <w:r w:rsidRPr="00DA6EED">
        <w:rPr>
          <w:rFonts w:asciiTheme="majorEastAsia" w:eastAsiaTheme="majorEastAsia" w:hAnsiTheme="majorEastAsia" w:cs="宋体" w:hint="eastAsia"/>
          <w:b/>
          <w:sz w:val="48"/>
          <w:szCs w:val="48"/>
        </w:rPr>
        <w:t>年部门预算</w:t>
      </w: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91457C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  <w:r>
        <w:rPr>
          <w:rFonts w:ascii="黑体" w:eastAsia="黑体" w:hAnsi="黑体" w:cs="宋体"/>
          <w:sz w:val="27"/>
          <w:szCs w:val="27"/>
        </w:rPr>
        <w:t>2022</w:t>
      </w:r>
      <w:r w:rsidR="00532B23">
        <w:rPr>
          <w:rFonts w:ascii="黑体" w:eastAsia="黑体" w:hAnsi="黑体" w:cs="宋体" w:hint="eastAsia"/>
          <w:sz w:val="27"/>
          <w:szCs w:val="27"/>
        </w:rPr>
        <w:t>年</w:t>
      </w:r>
      <w:r>
        <w:rPr>
          <w:rFonts w:ascii="黑体" w:eastAsia="黑体" w:hAnsi="黑体" w:cs="宋体" w:hint="eastAsia"/>
          <w:sz w:val="27"/>
          <w:szCs w:val="27"/>
        </w:rPr>
        <w:t>2</w:t>
      </w:r>
      <w:r w:rsidR="00532B23">
        <w:rPr>
          <w:rFonts w:ascii="黑体" w:eastAsia="黑体" w:hAnsi="黑体" w:cs="宋体" w:hint="eastAsia"/>
          <w:sz w:val="27"/>
          <w:szCs w:val="27"/>
        </w:rPr>
        <w:t>月</w:t>
      </w:r>
      <w:r>
        <w:rPr>
          <w:rFonts w:ascii="黑体" w:eastAsia="黑体" w:hAnsi="黑体" w:cs="宋体"/>
          <w:sz w:val="27"/>
          <w:szCs w:val="27"/>
        </w:rPr>
        <w:t>1</w:t>
      </w:r>
      <w:r>
        <w:rPr>
          <w:rFonts w:ascii="黑体" w:eastAsia="黑体" w:hAnsi="黑体" w:cs="宋体" w:hint="eastAsia"/>
          <w:sz w:val="27"/>
          <w:szCs w:val="27"/>
        </w:rPr>
        <w:t>4</w:t>
      </w:r>
      <w:r w:rsidR="00532B23">
        <w:rPr>
          <w:rFonts w:ascii="黑体" w:eastAsia="黑体" w:hAnsi="黑体" w:cs="宋体" w:hint="eastAsia"/>
          <w:sz w:val="27"/>
          <w:szCs w:val="27"/>
        </w:rPr>
        <w:t>日</w:t>
      </w:r>
    </w:p>
    <w:p w:rsidR="00532B23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27"/>
          <w:szCs w:val="27"/>
        </w:rPr>
      </w:pPr>
    </w:p>
    <w:p w:rsidR="00532B23" w:rsidRDefault="00532B23" w:rsidP="00D62D1B">
      <w:pPr>
        <w:adjustRightInd/>
        <w:snapToGrid/>
        <w:spacing w:after="225" w:line="480" w:lineRule="atLeast"/>
        <w:rPr>
          <w:rFonts w:ascii="黑体" w:eastAsia="黑体" w:hAnsi="黑体" w:cs="宋体"/>
          <w:sz w:val="27"/>
          <w:szCs w:val="27"/>
        </w:rPr>
      </w:pPr>
    </w:p>
    <w:p w:rsidR="00532B23" w:rsidRPr="00157358" w:rsidRDefault="00532B23">
      <w:pPr>
        <w:adjustRightInd/>
        <w:snapToGrid/>
        <w:spacing w:after="225" w:line="480" w:lineRule="atLeast"/>
        <w:jc w:val="center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lastRenderedPageBreak/>
        <w:t>目</w:t>
      </w:r>
      <w:r w:rsidRPr="00157358">
        <w:rPr>
          <w:rFonts w:ascii="黑体" w:eastAsia="黑体" w:hAnsi="黑体" w:cs="宋体"/>
          <w:sz w:val="32"/>
          <w:szCs w:val="32"/>
        </w:rPr>
        <w:t xml:space="preserve"> </w:t>
      </w:r>
      <w:r w:rsidRPr="00157358">
        <w:rPr>
          <w:rFonts w:ascii="黑体" w:eastAsia="黑体" w:hAnsi="黑体" w:cs="宋体" w:hint="eastAsia"/>
          <w:sz w:val="32"/>
          <w:szCs w:val="32"/>
        </w:rPr>
        <w:t>录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第一部分</w:t>
      </w:r>
      <w:r w:rsidRPr="00157358">
        <w:rPr>
          <w:rFonts w:ascii="黑体" w:eastAsia="黑体" w:hAnsi="黑体" w:cs="宋体"/>
          <w:sz w:val="32"/>
          <w:szCs w:val="32"/>
        </w:rPr>
        <w:t xml:space="preserve"> </w:t>
      </w:r>
      <w:r w:rsidRPr="00157358">
        <w:rPr>
          <w:rFonts w:ascii="黑体" w:eastAsia="黑体" w:hAnsi="黑体" w:cs="宋体" w:hint="eastAsia"/>
          <w:sz w:val="32"/>
          <w:szCs w:val="32"/>
        </w:rPr>
        <w:t>朗县外事办（部门）概况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一、部门预算单位构成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二、部门职责和机构设置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第二部分</w:t>
      </w:r>
      <w:r w:rsidRPr="00157358">
        <w:rPr>
          <w:rFonts w:ascii="黑体" w:eastAsia="黑体" w:hAnsi="黑体" w:cs="宋体"/>
          <w:sz w:val="32"/>
          <w:szCs w:val="32"/>
        </w:rPr>
        <w:t xml:space="preserve"> </w:t>
      </w:r>
      <w:r w:rsidRPr="00157358">
        <w:rPr>
          <w:rFonts w:ascii="黑体" w:eastAsia="黑体" w:hAnsi="黑体" w:cs="宋体" w:hint="eastAsia"/>
          <w:sz w:val="32"/>
          <w:szCs w:val="32"/>
        </w:rPr>
        <w:t>朗县外事办（部门）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年度部门预算明细表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一、财政拨款收支总表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二、一般公共预算支出表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三、一般公共预算基本支出表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四、一般公共预算“三公”经费支出表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五、政府性基金预算支出表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六、部门收支总表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七、部门收入总表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八、部门支出总表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第三部分</w:t>
      </w:r>
      <w:r w:rsidRPr="00157358">
        <w:rPr>
          <w:rFonts w:ascii="黑体" w:eastAsia="黑体" w:hAnsi="黑体" w:cs="宋体"/>
          <w:sz w:val="32"/>
          <w:szCs w:val="32"/>
        </w:rPr>
        <w:t xml:space="preserve"> </w:t>
      </w:r>
      <w:r w:rsidRPr="00157358">
        <w:rPr>
          <w:rFonts w:ascii="黑体" w:eastAsia="黑体" w:hAnsi="黑体" w:cs="宋体" w:hint="eastAsia"/>
          <w:sz w:val="32"/>
          <w:szCs w:val="32"/>
        </w:rPr>
        <w:t>朗县外事办（部门）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年度部门预算数据分析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第四部分</w:t>
      </w:r>
      <w:r w:rsidRPr="00157358">
        <w:rPr>
          <w:rFonts w:ascii="黑体" w:eastAsia="黑体" w:hAnsi="黑体" w:cs="宋体"/>
          <w:sz w:val="32"/>
          <w:szCs w:val="32"/>
        </w:rPr>
        <w:t xml:space="preserve"> </w:t>
      </w:r>
      <w:r w:rsidRPr="00157358">
        <w:rPr>
          <w:rFonts w:ascii="黑体" w:eastAsia="黑体" w:hAnsi="黑体" w:cs="宋体" w:hint="eastAsia"/>
          <w:sz w:val="32"/>
          <w:szCs w:val="32"/>
        </w:rPr>
        <w:t>名词解释</w:t>
      </w:r>
    </w:p>
    <w:p w:rsidR="00157358" w:rsidRDefault="00157358">
      <w:pPr>
        <w:adjustRightInd/>
        <w:snapToGrid/>
        <w:spacing w:before="225" w:after="225" w:line="480" w:lineRule="atLeast"/>
        <w:jc w:val="center"/>
        <w:rPr>
          <w:rFonts w:ascii="黑体" w:eastAsia="黑体" w:hAnsi="黑体" w:cs="宋体" w:hint="eastAsia"/>
          <w:sz w:val="24"/>
          <w:szCs w:val="24"/>
        </w:rPr>
      </w:pPr>
    </w:p>
    <w:p w:rsidR="00157358" w:rsidRDefault="00157358">
      <w:pPr>
        <w:adjustRightInd/>
        <w:snapToGrid/>
        <w:spacing w:before="225" w:after="225" w:line="480" w:lineRule="atLeast"/>
        <w:jc w:val="center"/>
        <w:rPr>
          <w:rFonts w:ascii="黑体" w:eastAsia="黑体" w:hAnsi="黑体" w:cs="宋体" w:hint="eastAsia"/>
          <w:sz w:val="24"/>
          <w:szCs w:val="24"/>
        </w:rPr>
      </w:pPr>
    </w:p>
    <w:p w:rsidR="00157358" w:rsidRDefault="00157358">
      <w:pPr>
        <w:adjustRightInd/>
        <w:snapToGrid/>
        <w:spacing w:before="225" w:after="225" w:line="480" w:lineRule="atLeast"/>
        <w:jc w:val="center"/>
        <w:rPr>
          <w:rFonts w:ascii="黑体" w:eastAsia="黑体" w:hAnsi="黑体" w:cs="宋体" w:hint="eastAsia"/>
          <w:sz w:val="24"/>
          <w:szCs w:val="24"/>
        </w:rPr>
      </w:pPr>
    </w:p>
    <w:p w:rsidR="00CA71C5" w:rsidRDefault="00532B23">
      <w:pPr>
        <w:adjustRightInd/>
        <w:snapToGrid/>
        <w:spacing w:before="225" w:after="225" w:line="480" w:lineRule="atLeast"/>
        <w:jc w:val="center"/>
        <w:rPr>
          <w:rFonts w:asciiTheme="majorEastAsia" w:eastAsiaTheme="majorEastAsia" w:hAnsiTheme="majorEastAsia" w:cs="宋体" w:hint="eastAsia"/>
          <w:sz w:val="32"/>
          <w:szCs w:val="32"/>
        </w:rPr>
      </w:pP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lastRenderedPageBreak/>
        <w:t>第一部分</w:t>
      </w:r>
      <w:r w:rsidRPr="00157358">
        <w:rPr>
          <w:rFonts w:asciiTheme="majorEastAsia" w:eastAsiaTheme="majorEastAsia" w:hAnsiTheme="majorEastAsia" w:cs="宋体"/>
          <w:sz w:val="32"/>
          <w:szCs w:val="32"/>
        </w:rPr>
        <w:t xml:space="preserve"> </w:t>
      </w:r>
    </w:p>
    <w:p w:rsidR="00532B23" w:rsidRPr="00157358" w:rsidRDefault="00532B23">
      <w:pPr>
        <w:adjustRightInd/>
        <w:snapToGrid/>
        <w:spacing w:before="225" w:after="225" w:line="480" w:lineRule="atLeast"/>
        <w:jc w:val="center"/>
        <w:rPr>
          <w:rFonts w:asciiTheme="majorEastAsia" w:eastAsiaTheme="majorEastAsia" w:hAnsiTheme="majorEastAsia" w:cs="宋体"/>
          <w:sz w:val="32"/>
          <w:szCs w:val="32"/>
        </w:rPr>
      </w:pP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t>朗县外事办（部门）概况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一、部门预算单位构成和机构设置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纳入朗县外事办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年部门预算编制范围的有外事办公室（边界事务协调办公室）</w:t>
      </w:r>
      <w:r w:rsidRPr="00157358">
        <w:rPr>
          <w:rFonts w:ascii="仿宋" w:eastAsia="仿宋" w:hAnsi="仿宋" w:cs="宋体"/>
          <w:sz w:val="32"/>
          <w:szCs w:val="32"/>
        </w:rPr>
        <w:t>1</w:t>
      </w:r>
      <w:r w:rsidRPr="00157358">
        <w:rPr>
          <w:rFonts w:ascii="仿宋" w:eastAsia="仿宋" w:hAnsi="仿宋" w:cs="宋体" w:hint="eastAsia"/>
          <w:sz w:val="32"/>
          <w:szCs w:val="32"/>
        </w:rPr>
        <w:t>个内设机构。</w:t>
      </w:r>
    </w:p>
    <w:p w:rsidR="00532B23" w:rsidRPr="00157358" w:rsidRDefault="00532B23">
      <w:pPr>
        <w:numPr>
          <w:ilvl w:val="0"/>
          <w:numId w:val="1"/>
        </w:num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部门职责</w:t>
      </w:r>
      <w:r w:rsidRPr="00157358">
        <w:rPr>
          <w:rFonts w:ascii="黑体" w:eastAsia="黑体" w:hAnsi="黑体" w:cs="宋体"/>
          <w:sz w:val="32"/>
          <w:szCs w:val="32"/>
        </w:rPr>
        <w:t xml:space="preserve">  </w:t>
      </w:r>
    </w:p>
    <w:p w:rsidR="00532B23" w:rsidRPr="00157358" w:rsidRDefault="00532B23" w:rsidP="00157358">
      <w:pPr>
        <w:adjustRightInd/>
        <w:snapToGrid/>
        <w:spacing w:before="225" w:after="225" w:line="480" w:lineRule="atLeas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（一）统筹协调全局性、战略性、跨部门重大涉外事项和重要涉外活动。起草全县外事工作地方性法规和政府规章草案，制订全县外事工作中长期发展规划和年度工作计划。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（二）负责审核报批在县举办的重大涉外活动。负责全县重要外事活动礼宾工作。指导全县外事礼宾接待工作。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（三）负责外国记者和香港、澳门特别行政区记者来朗县采访的管理和接待工作。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（四）负责全县因公出国管理工作。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（五）负责朗县边境乡（镇）涉外事务及边界事务。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（六）协调或协助有关部门处置各类涉外案（事）件。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（七）协助处置县重大涉外国家安全事务。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（八）统筹县对外民间交流交往工作。协助管理县社会组织参与非政府组织活动。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（九）负责全县港澳事务，做好港澳同胞有关工作。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（十）负责全县外事业务培训工作。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lastRenderedPageBreak/>
        <w:t>（十一）完成县委、县人民政府交办的其他任务。</w:t>
      </w: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CA71C5" w:rsidP="00157358">
      <w:pPr>
        <w:adjustRightInd/>
        <w:snapToGrid/>
        <w:spacing w:before="225" w:after="225" w:line="480" w:lineRule="atLeast"/>
        <w:rPr>
          <w:rFonts w:asciiTheme="majorEastAsia" w:eastAsiaTheme="majorEastAsia" w:hAnsiTheme="majorEastAsia" w:cs="宋体" w:hint="eastAsia"/>
          <w:sz w:val="32"/>
          <w:szCs w:val="32"/>
        </w:rPr>
      </w:pPr>
    </w:p>
    <w:p w:rsidR="00CA71C5" w:rsidRDefault="00532B23" w:rsidP="00CA71C5">
      <w:pPr>
        <w:adjustRightInd/>
        <w:snapToGrid/>
        <w:spacing w:before="225" w:after="225" w:line="480" w:lineRule="atLeast"/>
        <w:jc w:val="center"/>
        <w:rPr>
          <w:rFonts w:asciiTheme="majorEastAsia" w:eastAsiaTheme="majorEastAsia" w:hAnsiTheme="majorEastAsia" w:cs="宋体" w:hint="eastAsia"/>
          <w:sz w:val="32"/>
          <w:szCs w:val="32"/>
        </w:rPr>
      </w:pP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lastRenderedPageBreak/>
        <w:t>第二部分</w:t>
      </w:r>
    </w:p>
    <w:p w:rsidR="00532B23" w:rsidRPr="00157358" w:rsidRDefault="00532B23" w:rsidP="00CA71C5">
      <w:pPr>
        <w:adjustRightInd/>
        <w:snapToGrid/>
        <w:spacing w:before="225" w:after="225" w:line="480" w:lineRule="atLeast"/>
        <w:jc w:val="center"/>
        <w:rPr>
          <w:rFonts w:asciiTheme="majorEastAsia" w:eastAsiaTheme="majorEastAsia" w:hAnsiTheme="majorEastAsia" w:cs="宋体"/>
          <w:sz w:val="32"/>
          <w:szCs w:val="32"/>
        </w:rPr>
      </w:pP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t>朗县外事办（部门）</w:t>
      </w:r>
      <w:r w:rsidR="0091457C" w:rsidRPr="00157358">
        <w:rPr>
          <w:rFonts w:asciiTheme="majorEastAsia" w:eastAsiaTheme="majorEastAsia" w:hAnsiTheme="majorEastAsia" w:cs="宋体"/>
          <w:sz w:val="32"/>
          <w:szCs w:val="32"/>
        </w:rPr>
        <w:t>2022</w:t>
      </w: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t>年度预算明细表</w:t>
      </w:r>
    </w:p>
    <w:p w:rsidR="00532B23" w:rsidRPr="00157358" w:rsidRDefault="00532B23" w:rsidP="00CA71C5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>(</w:t>
      </w:r>
      <w:r w:rsidRPr="00157358">
        <w:rPr>
          <w:rFonts w:ascii="仿宋" w:eastAsia="仿宋" w:hAnsi="仿宋" w:cs="宋体" w:hint="eastAsia"/>
          <w:sz w:val="32"/>
          <w:szCs w:val="32"/>
        </w:rPr>
        <w:t>详见附表</w:t>
      </w:r>
      <w:r w:rsidRPr="00157358">
        <w:rPr>
          <w:rFonts w:ascii="仿宋" w:eastAsia="仿宋" w:hAnsi="仿宋" w:cs="宋体"/>
          <w:sz w:val="32"/>
          <w:szCs w:val="32"/>
        </w:rPr>
        <w:t>)</w:t>
      </w: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5A0B21" w:rsidRPr="00157358" w:rsidRDefault="005A0B21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</w:p>
    <w:p w:rsidR="00CA71C5" w:rsidRDefault="00532B23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 w:hint="eastAsia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lastRenderedPageBreak/>
        <w:t>第三部分</w:t>
      </w:r>
    </w:p>
    <w:p w:rsidR="00532B23" w:rsidRPr="00157358" w:rsidRDefault="00532B23">
      <w:pPr>
        <w:adjustRightInd/>
        <w:snapToGrid/>
        <w:spacing w:before="225" w:after="225" w:line="480" w:lineRule="atLeast"/>
        <w:jc w:val="center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 xml:space="preserve"> </w:t>
      </w:r>
      <w:r w:rsidRPr="00157358">
        <w:rPr>
          <w:rFonts w:ascii="仿宋" w:eastAsia="仿宋" w:hAnsi="仿宋" w:cs="宋体" w:hint="eastAsia"/>
          <w:sz w:val="32"/>
          <w:szCs w:val="32"/>
        </w:rPr>
        <w:t>朗县外事办（部门）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年度部门预算数据分析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一、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年度财政拨款收支预算情况总体说明。</w:t>
      </w:r>
    </w:p>
    <w:p w:rsidR="00532B23" w:rsidRPr="00157358" w:rsidRDefault="00532B23" w:rsidP="00157358">
      <w:pPr>
        <w:adjustRightInd/>
        <w:snapToGrid/>
        <w:spacing w:before="100" w:beforeAutospacing="1" w:after="100" w:afterAutospacing="1" w:line="480" w:lineRule="atLeas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年财政拨款收支总预算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万元，收入全部为一般公共预算，无政府性基金预算拨款，其中：当年财政拨款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万元；上年结转</w:t>
      </w:r>
      <w:r w:rsidRPr="00157358">
        <w:rPr>
          <w:rFonts w:ascii="仿宋" w:eastAsia="仿宋" w:hAnsi="仿宋" w:cs="宋体"/>
          <w:sz w:val="32"/>
          <w:szCs w:val="32"/>
        </w:rPr>
        <w:t>0</w:t>
      </w:r>
      <w:r w:rsidRPr="00157358">
        <w:rPr>
          <w:rFonts w:ascii="仿宋" w:eastAsia="仿宋" w:hAnsi="仿宋" w:cs="宋体" w:hint="eastAsia"/>
          <w:sz w:val="32"/>
          <w:szCs w:val="32"/>
        </w:rPr>
        <w:t>万元。支出包括：一般公共服务支出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156.54</w:t>
      </w:r>
      <w:r w:rsidRPr="00157358">
        <w:rPr>
          <w:rFonts w:ascii="仿宋" w:eastAsia="仿宋" w:hAnsi="仿宋" w:cs="宋体" w:hint="eastAsia"/>
          <w:sz w:val="32"/>
          <w:szCs w:val="32"/>
        </w:rPr>
        <w:t>万元、社会保障和就业支出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20.55</w:t>
      </w:r>
      <w:r w:rsidRPr="00157358">
        <w:rPr>
          <w:rFonts w:ascii="仿宋" w:eastAsia="仿宋" w:hAnsi="仿宋" w:cs="宋体" w:hint="eastAsia"/>
          <w:sz w:val="32"/>
          <w:szCs w:val="32"/>
        </w:rPr>
        <w:t>万元、卫生健康支出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13.66</w:t>
      </w:r>
      <w:r w:rsidRPr="00157358">
        <w:rPr>
          <w:rFonts w:ascii="仿宋" w:eastAsia="仿宋" w:hAnsi="仿宋" w:cs="宋体" w:hint="eastAsia"/>
          <w:sz w:val="32"/>
          <w:szCs w:val="32"/>
        </w:rPr>
        <w:t>万元、住房保障支出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16.29</w:t>
      </w:r>
      <w:r w:rsidRPr="00157358">
        <w:rPr>
          <w:rFonts w:ascii="仿宋" w:eastAsia="仿宋" w:hAnsi="仿宋" w:cs="宋体" w:hint="eastAsia"/>
          <w:sz w:val="32"/>
          <w:szCs w:val="32"/>
        </w:rPr>
        <w:t>万元。</w:t>
      </w:r>
    </w:p>
    <w:p w:rsidR="00532B23" w:rsidRPr="00157358" w:rsidRDefault="00532B23" w:rsidP="00157358">
      <w:pPr>
        <w:adjustRightInd/>
        <w:snapToGrid/>
        <w:spacing w:before="100" w:beforeAutospacing="1" w:after="100" w:afterAutospacing="1" w:line="555" w:lineRule="atLeas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年财政拨款预算用于以下方面：一般公共服务支出占</w:t>
      </w:r>
      <w:r w:rsidR="0091457C" w:rsidRPr="00157358">
        <w:rPr>
          <w:rFonts w:ascii="仿宋" w:eastAsia="仿宋" w:hAnsi="仿宋" w:cs="宋体"/>
          <w:sz w:val="32"/>
          <w:szCs w:val="32"/>
        </w:rPr>
        <w:t>75.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6</w:t>
      </w:r>
      <w:r w:rsidRPr="00157358">
        <w:rPr>
          <w:rFonts w:ascii="仿宋" w:eastAsia="仿宋" w:hAnsi="仿宋" w:cs="宋体"/>
          <w:sz w:val="32"/>
          <w:szCs w:val="32"/>
        </w:rPr>
        <w:t>%</w:t>
      </w:r>
      <w:r w:rsidRPr="00157358">
        <w:rPr>
          <w:rFonts w:ascii="仿宋" w:eastAsia="仿宋" w:hAnsi="仿宋" w:cs="宋体" w:hint="eastAsia"/>
          <w:sz w:val="32"/>
          <w:szCs w:val="32"/>
        </w:rPr>
        <w:t>；社会保障和就业支出占</w:t>
      </w:r>
      <w:r w:rsidR="0091457C" w:rsidRPr="00157358">
        <w:rPr>
          <w:rFonts w:ascii="仿宋" w:eastAsia="仿宋" w:hAnsi="仿宋" w:cs="宋体"/>
          <w:sz w:val="32"/>
          <w:szCs w:val="32"/>
        </w:rPr>
        <w:t>9.9</w:t>
      </w:r>
      <w:r w:rsidRPr="00157358">
        <w:rPr>
          <w:rFonts w:ascii="仿宋" w:eastAsia="仿宋" w:hAnsi="仿宋" w:cs="宋体"/>
          <w:sz w:val="32"/>
          <w:szCs w:val="32"/>
        </w:rPr>
        <w:t>%</w:t>
      </w:r>
      <w:r w:rsidRPr="00157358">
        <w:rPr>
          <w:rFonts w:ascii="仿宋" w:eastAsia="仿宋" w:hAnsi="仿宋" w:cs="宋体" w:hint="eastAsia"/>
          <w:sz w:val="32"/>
          <w:szCs w:val="32"/>
        </w:rPr>
        <w:t>；卫生健康支出占</w:t>
      </w:r>
      <w:r w:rsidR="0091457C" w:rsidRPr="00157358">
        <w:rPr>
          <w:rFonts w:ascii="仿宋" w:eastAsia="仿宋" w:hAnsi="仿宋" w:cs="宋体"/>
          <w:sz w:val="32"/>
          <w:szCs w:val="32"/>
        </w:rPr>
        <w:t>6.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6</w:t>
      </w:r>
      <w:r w:rsidRPr="00157358">
        <w:rPr>
          <w:rFonts w:ascii="仿宋" w:eastAsia="仿宋" w:hAnsi="仿宋" w:cs="宋体"/>
          <w:sz w:val="32"/>
          <w:szCs w:val="32"/>
        </w:rPr>
        <w:t>%</w:t>
      </w:r>
      <w:r w:rsidRPr="00157358">
        <w:rPr>
          <w:rFonts w:ascii="仿宋" w:eastAsia="仿宋" w:hAnsi="仿宋" w:cs="宋体" w:hint="eastAsia"/>
          <w:sz w:val="32"/>
          <w:szCs w:val="32"/>
        </w:rPr>
        <w:t>；住房保障支出占</w:t>
      </w:r>
      <w:r w:rsidR="0091457C" w:rsidRPr="00157358">
        <w:rPr>
          <w:rFonts w:ascii="仿宋" w:eastAsia="仿宋" w:hAnsi="仿宋" w:cs="宋体"/>
          <w:sz w:val="32"/>
          <w:szCs w:val="32"/>
        </w:rPr>
        <w:t>7.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9</w:t>
      </w:r>
      <w:r w:rsidRPr="00157358">
        <w:rPr>
          <w:rFonts w:ascii="仿宋" w:eastAsia="仿宋" w:hAnsi="仿宋" w:cs="宋体"/>
          <w:sz w:val="32"/>
          <w:szCs w:val="32"/>
        </w:rPr>
        <w:t>%</w:t>
      </w:r>
      <w:r w:rsidRPr="00157358">
        <w:rPr>
          <w:rFonts w:ascii="仿宋" w:eastAsia="仿宋" w:hAnsi="仿宋" w:cs="宋体" w:hint="eastAsia"/>
          <w:sz w:val="32"/>
          <w:szCs w:val="32"/>
        </w:rPr>
        <w:t>。</w:t>
      </w:r>
    </w:p>
    <w:p w:rsidR="00532B23" w:rsidRPr="00157358" w:rsidRDefault="00532B23" w:rsidP="00157358">
      <w:pPr>
        <w:adjustRightInd/>
        <w:snapToGrid/>
        <w:spacing w:before="100" w:beforeAutospacing="1" w:after="100" w:afterAutospacing="1" w:line="480" w:lineRule="atLeas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 xml:space="preserve"> </w:t>
      </w:r>
      <w:r w:rsidR="0091457C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91457C" w:rsidRPr="00157358">
        <w:rPr>
          <w:rFonts w:ascii="仿宋" w:eastAsia="仿宋" w:hAnsi="仿宋" w:cs="宋体" w:hint="eastAsia"/>
          <w:color w:val="000000"/>
          <w:sz w:val="32"/>
          <w:szCs w:val="32"/>
        </w:rPr>
        <w:t>支出预算207.04万元,其中：基本支出204.04万元，占98.6%；项目支出3万元，占1.5%；事业单位经营支出0万元，占0%。</w:t>
      </w:r>
    </w:p>
    <w:p w:rsidR="00532B23" w:rsidRPr="00157358" w:rsidRDefault="00532B23" w:rsidP="00157358">
      <w:pPr>
        <w:adjustRightInd/>
        <w:snapToGrid/>
        <w:spacing w:before="225" w:after="225" w:line="480" w:lineRule="atLeas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二、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年度一般公共预算当年财政拨款情况说明</w:t>
      </w:r>
    </w:p>
    <w:p w:rsidR="00466395" w:rsidRPr="00157358" w:rsidRDefault="00466395" w:rsidP="00157358">
      <w:pPr>
        <w:adjustRightInd/>
        <w:snapToGrid/>
        <w:spacing w:before="225" w:after="225" w:line="480" w:lineRule="atLeas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对本部门一般公共预算支出功能分类项级科目增减变化进行说明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年财政拨款支出年初预算数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万元，</w:t>
      </w:r>
      <w:r w:rsidR="00466395" w:rsidRPr="00157358">
        <w:rPr>
          <w:rFonts w:ascii="仿宋" w:eastAsia="仿宋" w:hAnsi="仿宋" w:cs="宋体" w:hint="eastAsia"/>
          <w:sz w:val="32"/>
          <w:szCs w:val="32"/>
        </w:rPr>
        <w:t>比2021年执行数1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89.82</w:t>
      </w:r>
      <w:r w:rsidR="00466395" w:rsidRPr="00157358">
        <w:rPr>
          <w:rFonts w:ascii="仿宋" w:eastAsia="仿宋" w:hAnsi="仿宋" w:cs="宋体" w:hint="eastAsia"/>
          <w:sz w:val="32"/>
          <w:szCs w:val="32"/>
        </w:rPr>
        <w:t>万元增加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17.22</w:t>
      </w:r>
      <w:r w:rsidR="00466395" w:rsidRPr="00157358">
        <w:rPr>
          <w:rFonts w:ascii="仿宋" w:eastAsia="仿宋" w:hAnsi="仿宋" w:cs="宋体" w:hint="eastAsia"/>
          <w:sz w:val="32"/>
          <w:szCs w:val="32"/>
        </w:rPr>
        <w:t>万元，增加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9.07</w:t>
      </w:r>
      <w:r w:rsidR="00466395" w:rsidRPr="00157358">
        <w:rPr>
          <w:rFonts w:ascii="仿宋" w:eastAsia="仿宋" w:hAnsi="仿宋" w:cs="宋体" w:hint="eastAsia"/>
          <w:sz w:val="32"/>
          <w:szCs w:val="32"/>
        </w:rPr>
        <w:t>%，主要原因工资增长，相应的保险基数提高。</w:t>
      </w:r>
    </w:p>
    <w:p w:rsidR="00931AF4" w:rsidRPr="00157358" w:rsidRDefault="00931AF4" w:rsidP="00931AF4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（一）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一般公共服务支出（类）对外联络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事务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（款）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行政运行（项）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="0091457C" w:rsidRPr="00157358">
        <w:rPr>
          <w:rFonts w:ascii="仿宋" w:eastAsia="仿宋" w:hAnsi="仿宋" w:cs="宋体" w:hint="eastAsia"/>
          <w:sz w:val="32"/>
          <w:szCs w:val="32"/>
        </w:rPr>
        <w:t>153.54万元。</w:t>
      </w:r>
      <w:r w:rsidRPr="00157358">
        <w:rPr>
          <w:rFonts w:ascii="仿宋" w:eastAsia="仿宋" w:hAnsi="仿宋" w:cs="宋体" w:hint="eastAsia"/>
          <w:sz w:val="32"/>
          <w:szCs w:val="32"/>
        </w:rPr>
        <w:t>比2021年执行</w:t>
      </w:r>
      <w:r w:rsidRPr="00157358">
        <w:rPr>
          <w:rFonts w:ascii="仿宋" w:eastAsia="仿宋" w:hAnsi="仿宋" w:cs="宋体" w:hint="eastAsia"/>
          <w:sz w:val="32"/>
          <w:szCs w:val="32"/>
        </w:rPr>
        <w:lastRenderedPageBreak/>
        <w:t>数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144.51</w:t>
      </w:r>
      <w:r w:rsidRPr="00157358">
        <w:rPr>
          <w:rFonts w:ascii="仿宋" w:eastAsia="仿宋" w:hAnsi="仿宋" w:cs="宋体" w:hint="eastAsia"/>
          <w:sz w:val="32"/>
          <w:szCs w:val="32"/>
        </w:rPr>
        <w:t>万元增加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9.03</w:t>
      </w:r>
      <w:r w:rsidRPr="00157358">
        <w:rPr>
          <w:rFonts w:ascii="仿宋" w:eastAsia="仿宋" w:hAnsi="仿宋" w:cs="宋体" w:hint="eastAsia"/>
          <w:sz w:val="32"/>
          <w:szCs w:val="32"/>
        </w:rPr>
        <w:t>万元，增加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6.25</w:t>
      </w:r>
      <w:r w:rsidRPr="00157358">
        <w:rPr>
          <w:rFonts w:ascii="仿宋" w:eastAsia="仿宋" w:hAnsi="仿宋" w:cs="宋体" w:hint="eastAsia"/>
          <w:sz w:val="32"/>
          <w:szCs w:val="32"/>
        </w:rPr>
        <w:t>%，主要原因工资增长，相应的保险基数提高。</w:t>
      </w:r>
    </w:p>
    <w:p w:rsidR="00532B23" w:rsidRPr="00157358" w:rsidRDefault="0091457C" w:rsidP="00931AF4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（二）一般公共服务支出（类）对外联络事务（款）一般行政管理事务（项）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Pr="00157358">
        <w:rPr>
          <w:rFonts w:ascii="仿宋" w:eastAsia="仿宋" w:hAnsi="仿宋" w:cs="宋体" w:hint="eastAsia"/>
          <w:sz w:val="32"/>
          <w:szCs w:val="32"/>
        </w:rPr>
        <w:t>3万元。</w:t>
      </w:r>
      <w:r w:rsidR="00931AF4" w:rsidRPr="00157358">
        <w:rPr>
          <w:rFonts w:ascii="仿宋" w:eastAsia="仿宋" w:hAnsi="仿宋" w:cs="宋体" w:hint="eastAsia"/>
          <w:sz w:val="32"/>
          <w:szCs w:val="32"/>
        </w:rPr>
        <w:t>比2021年执行数3万元。</w:t>
      </w:r>
    </w:p>
    <w:p w:rsidR="00466395" w:rsidRPr="00157358" w:rsidRDefault="0091457C" w:rsidP="00466395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（三</w:t>
      </w:r>
      <w:r w:rsidR="00532B23" w:rsidRPr="00157358">
        <w:rPr>
          <w:rFonts w:ascii="仿宋" w:eastAsia="仿宋" w:hAnsi="仿宋" w:cs="宋体" w:hint="eastAsia"/>
          <w:color w:val="000000"/>
          <w:sz w:val="32"/>
          <w:szCs w:val="32"/>
        </w:rPr>
        <w:t>）社会保障和就业支出（类）</w:t>
      </w: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行政事业单位养老支出（款）机关事业单位</w:t>
      </w:r>
      <w:r w:rsidR="0070393D" w:rsidRPr="00157358">
        <w:rPr>
          <w:rFonts w:ascii="仿宋" w:eastAsia="仿宋" w:hAnsi="仿宋" w:cs="宋体" w:hint="eastAsia"/>
          <w:color w:val="000000"/>
          <w:sz w:val="32"/>
          <w:szCs w:val="32"/>
        </w:rPr>
        <w:t>基本养老保险缴费支出（项）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="0070393D" w:rsidRPr="00157358">
        <w:rPr>
          <w:rFonts w:ascii="仿宋" w:eastAsia="仿宋" w:hAnsi="仿宋" w:cs="宋体" w:hint="eastAsia"/>
          <w:color w:val="000000"/>
          <w:sz w:val="32"/>
          <w:szCs w:val="32"/>
        </w:rPr>
        <w:t>20.42万元。</w:t>
      </w:r>
      <w:r w:rsidR="00466395" w:rsidRPr="00157358">
        <w:rPr>
          <w:rFonts w:ascii="仿宋" w:eastAsia="仿宋" w:hAnsi="仿宋" w:cs="宋体" w:hint="eastAsia"/>
          <w:color w:val="000000"/>
          <w:sz w:val="32"/>
          <w:szCs w:val="32"/>
        </w:rPr>
        <w:t>比2021年执行数15.67万元增加4.75万元，增长30.31%主要原因</w:t>
      </w:r>
      <w:r w:rsidR="00466395" w:rsidRPr="00157358">
        <w:rPr>
          <w:rFonts w:ascii="仿宋" w:eastAsia="仿宋" w:hAnsi="仿宋" w:cs="宋体" w:hint="eastAsia"/>
          <w:sz w:val="32"/>
          <w:szCs w:val="32"/>
        </w:rPr>
        <w:t>工资增长，相应的保险基数提高。</w:t>
      </w:r>
    </w:p>
    <w:p w:rsidR="0070393D" w:rsidRPr="00157358" w:rsidRDefault="005A0B21" w:rsidP="005A0B21">
      <w:pPr>
        <w:adjustRightInd/>
        <w:snapToGrid/>
        <w:spacing w:before="225" w:after="225" w:line="480" w:lineRule="atLeast"/>
        <w:jc w:val="both"/>
        <w:rPr>
          <w:rFonts w:ascii="仿宋" w:eastAsia="仿宋" w:hAnsi="仿宋" w:cs="宋体"/>
          <w:color w:val="000000"/>
          <w:sz w:val="32"/>
          <w:szCs w:val="32"/>
        </w:rPr>
      </w:pP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 xml:space="preserve">  </w:t>
      </w:r>
      <w:r w:rsidR="0070393D" w:rsidRPr="00157358">
        <w:rPr>
          <w:rFonts w:ascii="仿宋" w:eastAsia="仿宋" w:hAnsi="仿宋" w:cs="宋体" w:hint="eastAsia"/>
          <w:color w:val="000000"/>
          <w:sz w:val="32"/>
          <w:szCs w:val="32"/>
        </w:rPr>
        <w:t>（四）社会保障和就业支出（类）财政对其他社会保险基金的补助（款）财政对工伤保险基金的补助（项）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="0070393D" w:rsidRPr="00157358">
        <w:rPr>
          <w:rFonts w:ascii="仿宋" w:eastAsia="仿宋" w:hAnsi="仿宋" w:cs="宋体" w:hint="eastAsia"/>
          <w:color w:val="000000"/>
          <w:sz w:val="32"/>
          <w:szCs w:val="32"/>
        </w:rPr>
        <w:t>0.13万元。</w:t>
      </w:r>
      <w:r w:rsidR="00931AF4" w:rsidRPr="00157358">
        <w:rPr>
          <w:rFonts w:ascii="仿宋" w:eastAsia="仿宋" w:hAnsi="仿宋" w:cs="宋体" w:hint="eastAsia"/>
          <w:sz w:val="32"/>
          <w:szCs w:val="32"/>
        </w:rPr>
        <w:t>比2021年执行数0.2万元减少0.11万元，下降35%，具体原因，人员减少。</w:t>
      </w:r>
    </w:p>
    <w:p w:rsidR="00532B23" w:rsidRPr="00157358" w:rsidRDefault="0070393D" w:rsidP="00157358">
      <w:pPr>
        <w:adjustRightInd/>
        <w:snapToGrid/>
        <w:spacing w:before="225" w:after="225" w:line="480" w:lineRule="atLeas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 xml:space="preserve">（五） </w:t>
      </w:r>
      <w:r w:rsidR="00532B23" w:rsidRPr="00157358">
        <w:rPr>
          <w:rFonts w:ascii="仿宋" w:eastAsia="仿宋" w:hAnsi="仿宋" w:cs="宋体" w:hint="eastAsia"/>
          <w:color w:val="000000"/>
          <w:sz w:val="32"/>
          <w:szCs w:val="32"/>
        </w:rPr>
        <w:t>卫生健康支出（类）</w:t>
      </w: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行政事业单位医疗（款）公务员医疗补助（项）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2.55万元。</w:t>
      </w:r>
      <w:r w:rsidR="00931AF4" w:rsidRPr="00157358">
        <w:rPr>
          <w:rFonts w:ascii="仿宋" w:eastAsia="仿宋" w:hAnsi="仿宋" w:cs="宋体" w:hint="eastAsia"/>
          <w:sz w:val="32"/>
          <w:szCs w:val="32"/>
        </w:rPr>
        <w:t>比2021年执行数2.94万元减少0.39万元，增加13.26%，</w:t>
      </w:r>
    </w:p>
    <w:p w:rsidR="0070393D" w:rsidRPr="00157358" w:rsidRDefault="0070393D" w:rsidP="00157358">
      <w:pPr>
        <w:adjustRightInd/>
        <w:snapToGrid/>
        <w:spacing w:before="225" w:after="225" w:line="480" w:lineRule="atLeast"/>
        <w:ind w:firstLineChars="200" w:firstLine="640"/>
        <w:jc w:val="both"/>
        <w:rPr>
          <w:rFonts w:ascii="仿宋" w:eastAsia="仿宋" w:hAnsi="仿宋" w:cs="宋体"/>
          <w:color w:val="000000"/>
          <w:sz w:val="32"/>
          <w:szCs w:val="32"/>
        </w:rPr>
      </w:pP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（六）卫生健康支出（类）财政对基本医疗保险基金的补助（款）财政对职工基本医疗保险基金的补助（项）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11.11万元。</w:t>
      </w:r>
      <w:r w:rsidR="00931AF4" w:rsidRPr="00157358">
        <w:rPr>
          <w:rFonts w:ascii="仿宋" w:eastAsia="仿宋" w:hAnsi="仿宋" w:cs="宋体" w:hint="eastAsia"/>
          <w:sz w:val="32"/>
          <w:szCs w:val="32"/>
        </w:rPr>
        <w:t>比2021年执行数8.52万元减少2.59万元，增加30.39%，</w:t>
      </w:r>
    </w:p>
    <w:p w:rsidR="00931AF4" w:rsidRPr="00157358" w:rsidRDefault="0070393D" w:rsidP="00931AF4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（七）住房保障支出（类）住房改革支出（款）住房公积金（项）</w:t>
      </w:r>
      <w:r w:rsidR="002F3DB5" w:rsidRPr="00157358">
        <w:rPr>
          <w:rFonts w:ascii="仿宋" w:eastAsia="仿宋" w:hAnsi="仿宋" w:cs="宋体"/>
          <w:color w:val="000000"/>
          <w:sz w:val="32"/>
          <w:szCs w:val="32"/>
        </w:rPr>
        <w:t>2022</w:t>
      </w:r>
      <w:r w:rsidR="002F3DB5" w:rsidRPr="00157358">
        <w:rPr>
          <w:rFonts w:ascii="仿宋" w:eastAsia="仿宋" w:hAnsi="仿宋" w:cs="宋体" w:hint="eastAsia"/>
          <w:color w:val="000000"/>
          <w:sz w:val="32"/>
          <w:szCs w:val="32"/>
        </w:rPr>
        <w:t>年预算数</w:t>
      </w:r>
      <w:r w:rsidRPr="00157358">
        <w:rPr>
          <w:rFonts w:ascii="仿宋" w:eastAsia="仿宋" w:hAnsi="仿宋" w:cs="宋体" w:hint="eastAsia"/>
          <w:color w:val="000000"/>
          <w:sz w:val="32"/>
          <w:szCs w:val="32"/>
        </w:rPr>
        <w:t>16.29万元。</w:t>
      </w:r>
      <w:r w:rsidR="00931AF4" w:rsidRPr="00157358">
        <w:rPr>
          <w:rFonts w:ascii="仿宋" w:eastAsia="仿宋" w:hAnsi="仿宋" w:cs="宋体" w:hint="eastAsia"/>
          <w:sz w:val="32"/>
          <w:szCs w:val="32"/>
        </w:rPr>
        <w:t>比2021年执行数12.85万元增加3.44万元，增加26.77%，具体原因工资增长，相应的保险基数提高。</w:t>
      </w:r>
    </w:p>
    <w:p w:rsidR="00532B23" w:rsidRPr="00157358" w:rsidRDefault="00532B23" w:rsidP="00931AF4">
      <w:pPr>
        <w:adjustRightInd/>
        <w:snapToGrid/>
        <w:spacing w:before="225" w:after="225" w:line="480" w:lineRule="atLeast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lastRenderedPageBreak/>
        <w:t>三</w:t>
      </w:r>
      <w:r w:rsidRPr="00157358">
        <w:rPr>
          <w:rFonts w:ascii="仿宋" w:eastAsia="仿宋" w:hAnsi="仿宋" w:cs="宋体" w:hint="eastAsia"/>
          <w:sz w:val="32"/>
          <w:szCs w:val="32"/>
        </w:rPr>
        <w:t>、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年度一般公共预算基本支出情况说明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年一般公共预算基本支出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万元。其中：人员经费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193.56</w:t>
      </w:r>
      <w:r w:rsidRPr="00157358">
        <w:rPr>
          <w:rFonts w:ascii="仿宋" w:eastAsia="仿宋" w:hAnsi="仿宋" w:cs="宋体" w:hint="eastAsia"/>
          <w:sz w:val="32"/>
          <w:szCs w:val="32"/>
        </w:rPr>
        <w:t>万元，主要包括：基本工资、津贴补贴、奖金、机关事业单位基本养老保险缴费、职工基本医疗保险、公务员医疗补助、其他社会保障缴费、住房公积金、其他工资福利、其他对个人和家庭的补助支出。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公用经费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10.48</w:t>
      </w:r>
      <w:r w:rsidRPr="00157358">
        <w:rPr>
          <w:rFonts w:ascii="仿宋" w:eastAsia="仿宋" w:hAnsi="仿宋" w:cs="宋体" w:hint="eastAsia"/>
          <w:sz w:val="32"/>
          <w:szCs w:val="32"/>
        </w:rPr>
        <w:t>万元，主要包括：办公费、印刷费、水费、电费、邮电费、取暖费、差旅费、维修（护）费、会议费、培训费、公务接待费、工会经费、福利费、公务用车运行维护费、其他商品和服务支出。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四、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年度一般公共预算“三公”经费预算情况说明</w:t>
      </w:r>
    </w:p>
    <w:p w:rsidR="00532B23" w:rsidRPr="00157358" w:rsidRDefault="0091457C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>2022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年“三公”经费预算数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0.42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万元。其中：因公出国（境）费</w:t>
      </w:r>
      <w:r w:rsidR="00532B23" w:rsidRPr="00157358">
        <w:rPr>
          <w:rFonts w:ascii="仿宋" w:eastAsia="仿宋" w:hAnsi="仿宋" w:cs="宋体"/>
          <w:sz w:val="32"/>
          <w:szCs w:val="32"/>
        </w:rPr>
        <w:t>0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万元，公务用车购置及运行费</w:t>
      </w:r>
      <w:r w:rsidR="00532B23" w:rsidRPr="00157358">
        <w:rPr>
          <w:rFonts w:ascii="仿宋" w:eastAsia="仿宋" w:hAnsi="仿宋" w:cs="宋体"/>
          <w:sz w:val="32"/>
          <w:szCs w:val="32"/>
        </w:rPr>
        <w:t>0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万元，无公务用车购置费，公务接待费</w:t>
      </w:r>
      <w:r w:rsidR="002F3DB5" w:rsidRPr="00157358">
        <w:rPr>
          <w:rFonts w:ascii="仿宋" w:eastAsia="仿宋" w:hAnsi="仿宋" w:cs="宋体"/>
          <w:sz w:val="32"/>
          <w:szCs w:val="32"/>
        </w:rPr>
        <w:t>0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.42</w:t>
      </w:r>
      <w:r w:rsidR="00532B23" w:rsidRPr="00157358">
        <w:rPr>
          <w:rFonts w:ascii="仿宋" w:eastAsia="仿宋" w:hAnsi="仿宋" w:cs="宋体"/>
          <w:sz w:val="32"/>
          <w:szCs w:val="32"/>
        </w:rPr>
        <w:t xml:space="preserve"> </w:t>
      </w:r>
      <w:r w:rsidR="00532B23" w:rsidRPr="00157358">
        <w:rPr>
          <w:rFonts w:ascii="仿宋" w:eastAsia="仿宋" w:hAnsi="仿宋" w:cs="宋体" w:hint="eastAsia"/>
          <w:sz w:val="32"/>
          <w:szCs w:val="32"/>
        </w:rPr>
        <w:t>万元。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 w:hint="eastAsia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五、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年度政府性基金预算支出情况说明</w:t>
      </w:r>
    </w:p>
    <w:p w:rsidR="005A0B21" w:rsidRPr="00157358" w:rsidRDefault="005A0B21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2.25pt;height:187.5pt;visibility:visible;mso-wrap-style:square">
            <v:imagedata r:id="rId7" o:title=""/>
          </v:shape>
        </w:pic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年度无政府性基金安排的支出</w:t>
      </w:r>
      <w:bookmarkStart w:id="0" w:name="_GoBack"/>
      <w:r w:rsidRPr="00157358">
        <w:rPr>
          <w:rFonts w:ascii="仿宋" w:eastAsia="仿宋" w:hAnsi="仿宋" w:cs="宋体" w:hint="eastAsia"/>
          <w:sz w:val="32"/>
          <w:szCs w:val="32"/>
        </w:rPr>
        <w:t>。</w:t>
      </w:r>
      <w:bookmarkEnd w:id="0"/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lastRenderedPageBreak/>
        <w:t>六、</w:t>
      </w:r>
      <w:r w:rsidR="0091457C" w:rsidRPr="00157358">
        <w:rPr>
          <w:rFonts w:ascii="黑体" w:eastAsia="黑体" w:hAnsi="黑体" w:cs="宋体"/>
          <w:sz w:val="32"/>
          <w:szCs w:val="32"/>
        </w:rPr>
        <w:t>2022</w:t>
      </w:r>
      <w:r w:rsidRPr="00157358">
        <w:rPr>
          <w:rFonts w:ascii="黑体" w:eastAsia="黑体" w:hAnsi="黑体" w:cs="宋体" w:hint="eastAsia"/>
          <w:sz w:val="32"/>
          <w:szCs w:val="32"/>
        </w:rPr>
        <w:t>年度收支预算情况总体说明</w:t>
      </w:r>
    </w:p>
    <w:p w:rsidR="00532B23" w:rsidRPr="00157358" w:rsidRDefault="00532B23">
      <w:pPr>
        <w:adjustRightInd/>
        <w:snapToGrid/>
        <w:spacing w:before="100" w:beforeAutospacing="1" w:after="100" w:afterAutospacing="1" w:line="480" w:lineRule="atLeast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 xml:space="preserve">    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年预算总收入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万元，收入主要为当年财政拨款，无政府性基金预算拨款。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七、关于部门收入总表的说明</w:t>
      </w:r>
    </w:p>
    <w:p w:rsidR="00532B23" w:rsidRPr="00157358" w:rsidRDefault="00532B23">
      <w:pPr>
        <w:adjustRightInd/>
        <w:snapToGrid/>
        <w:spacing w:before="100" w:beforeAutospacing="1" w:after="100" w:afterAutospacing="1" w:line="555" w:lineRule="atLeast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 xml:space="preserve">    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年预算总收入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万元，收入主要为当年财政拨款，无政府性基金预算拨款。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八、关于部门支出总表的说明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年支出预算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207.04</w:t>
      </w:r>
      <w:r w:rsidRPr="00157358">
        <w:rPr>
          <w:rFonts w:ascii="仿宋" w:eastAsia="仿宋" w:hAnsi="仿宋" w:cs="宋体" w:hint="eastAsia"/>
          <w:sz w:val="32"/>
          <w:szCs w:val="32"/>
        </w:rPr>
        <w:t>万元，均为一般共公预算财政拨款支出。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黑体" w:eastAsia="黑体" w:hAnsi="黑体" w:cs="宋体"/>
          <w:sz w:val="32"/>
          <w:szCs w:val="32"/>
        </w:rPr>
      </w:pPr>
      <w:r w:rsidRPr="00157358">
        <w:rPr>
          <w:rFonts w:ascii="黑体" w:eastAsia="黑体" w:hAnsi="黑体" w:cs="宋体" w:hint="eastAsia"/>
          <w:sz w:val="32"/>
          <w:szCs w:val="32"/>
        </w:rPr>
        <w:t>九、其他重要事项的情况说明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（一）机关运行经费安排使用情况说明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年机关运行经费财政拨款预算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10.48</w:t>
      </w:r>
      <w:r w:rsidRPr="00157358">
        <w:rPr>
          <w:rFonts w:ascii="仿宋" w:eastAsia="仿宋" w:hAnsi="仿宋" w:cs="宋体" w:hint="eastAsia"/>
          <w:sz w:val="32"/>
          <w:szCs w:val="32"/>
        </w:rPr>
        <w:t>万元，。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（二）政府采购情况说明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朗县外事办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年预算未安排政府采购业务。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（三）国有资产占有使用情况说明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截止</w:t>
      </w:r>
      <w:r w:rsidR="002F3DB5" w:rsidRPr="00157358">
        <w:rPr>
          <w:rFonts w:ascii="仿宋" w:eastAsia="仿宋" w:hAnsi="仿宋" w:cs="宋体"/>
          <w:sz w:val="32"/>
          <w:szCs w:val="32"/>
        </w:rPr>
        <w:t>20</w:t>
      </w:r>
      <w:r w:rsidR="002F3DB5" w:rsidRPr="00157358">
        <w:rPr>
          <w:rFonts w:ascii="仿宋" w:eastAsia="仿宋" w:hAnsi="仿宋" w:cs="宋体" w:hint="eastAsia"/>
          <w:sz w:val="32"/>
          <w:szCs w:val="32"/>
        </w:rPr>
        <w:t>21</w:t>
      </w:r>
      <w:r w:rsidRPr="00157358">
        <w:rPr>
          <w:rFonts w:ascii="仿宋" w:eastAsia="仿宋" w:hAnsi="仿宋" w:cs="宋体" w:hint="eastAsia"/>
          <w:sz w:val="32"/>
          <w:szCs w:val="32"/>
        </w:rPr>
        <w:t>年</w:t>
      </w:r>
      <w:r w:rsidRPr="00157358">
        <w:rPr>
          <w:rFonts w:ascii="仿宋" w:eastAsia="仿宋" w:hAnsi="仿宋" w:cs="宋体"/>
          <w:sz w:val="32"/>
          <w:szCs w:val="32"/>
        </w:rPr>
        <w:t>12</w:t>
      </w:r>
      <w:r w:rsidRPr="00157358">
        <w:rPr>
          <w:rFonts w:ascii="仿宋" w:eastAsia="仿宋" w:hAnsi="仿宋" w:cs="宋体" w:hint="eastAsia"/>
          <w:sz w:val="32"/>
          <w:szCs w:val="32"/>
        </w:rPr>
        <w:t>月份</w:t>
      </w:r>
      <w:r w:rsidRPr="00157358">
        <w:rPr>
          <w:rFonts w:ascii="仿宋" w:eastAsia="仿宋" w:hAnsi="仿宋" w:cs="宋体"/>
          <w:sz w:val="32"/>
          <w:szCs w:val="32"/>
        </w:rPr>
        <w:t>31</w:t>
      </w:r>
      <w:r w:rsidRPr="00157358">
        <w:rPr>
          <w:rFonts w:ascii="仿宋" w:eastAsia="仿宋" w:hAnsi="仿宋" w:cs="宋体" w:hint="eastAsia"/>
          <w:sz w:val="32"/>
          <w:szCs w:val="32"/>
        </w:rPr>
        <w:t>日，朗县外事办没有一般公务用车车辆。</w:t>
      </w:r>
      <w:r w:rsidR="0091457C" w:rsidRPr="00157358">
        <w:rPr>
          <w:rFonts w:ascii="仿宋" w:eastAsia="仿宋" w:hAnsi="仿宋" w:cs="宋体"/>
          <w:sz w:val="32"/>
          <w:szCs w:val="32"/>
        </w:rPr>
        <w:t>2022</w:t>
      </w:r>
      <w:r w:rsidRPr="00157358">
        <w:rPr>
          <w:rFonts w:ascii="仿宋" w:eastAsia="仿宋" w:hAnsi="仿宋" w:cs="宋体" w:hint="eastAsia"/>
          <w:sz w:val="32"/>
          <w:szCs w:val="32"/>
        </w:rPr>
        <w:t>年部门预算未安排车辆购置。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（四）预算绩效情况说明</w:t>
      </w:r>
    </w:p>
    <w:p w:rsidR="00532B23" w:rsidRPr="00157358" w:rsidRDefault="0091457C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/>
          <w:sz w:val="32"/>
          <w:szCs w:val="32"/>
        </w:rPr>
        <w:t>2</w:t>
      </w:r>
      <w:r w:rsidR="005A0B21" w:rsidRPr="00157358">
        <w:rPr>
          <w:rFonts w:ascii="仿宋" w:eastAsia="仿宋" w:hAnsi="仿宋" w:cs="宋体" w:hint="eastAsia"/>
          <w:sz w:val="32"/>
          <w:szCs w:val="32"/>
        </w:rPr>
        <w:t>022年朗县外事办所有资金实行绩效管理，10个项目207.04万元附：绩效目标表</w:t>
      </w:r>
    </w:p>
    <w:p w:rsidR="00CA71C5" w:rsidRDefault="00532B23" w:rsidP="00157358">
      <w:pPr>
        <w:adjustRightInd/>
        <w:snapToGrid/>
        <w:spacing w:before="225" w:after="225" w:line="480" w:lineRule="atLeast"/>
        <w:jc w:val="center"/>
        <w:rPr>
          <w:rFonts w:asciiTheme="majorEastAsia" w:eastAsiaTheme="majorEastAsia" w:hAnsiTheme="majorEastAsia" w:cs="宋体" w:hint="eastAsia"/>
          <w:sz w:val="32"/>
          <w:szCs w:val="32"/>
        </w:rPr>
      </w:pP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lastRenderedPageBreak/>
        <w:t>第四部分</w:t>
      </w:r>
      <w:r w:rsidRPr="00157358">
        <w:rPr>
          <w:rFonts w:asciiTheme="majorEastAsia" w:eastAsiaTheme="majorEastAsia" w:hAnsiTheme="majorEastAsia" w:cs="宋体"/>
          <w:sz w:val="32"/>
          <w:szCs w:val="32"/>
        </w:rPr>
        <w:t xml:space="preserve"> </w:t>
      </w:r>
    </w:p>
    <w:p w:rsidR="00532B23" w:rsidRPr="00157358" w:rsidRDefault="00532B23" w:rsidP="00157358">
      <w:pPr>
        <w:adjustRightInd/>
        <w:snapToGrid/>
        <w:spacing w:before="225" w:after="225" w:line="480" w:lineRule="atLeast"/>
        <w:jc w:val="center"/>
        <w:rPr>
          <w:rFonts w:asciiTheme="majorEastAsia" w:eastAsiaTheme="majorEastAsia" w:hAnsiTheme="majorEastAsia" w:cs="宋体"/>
          <w:sz w:val="32"/>
          <w:szCs w:val="32"/>
        </w:rPr>
      </w:pPr>
      <w:r w:rsidRPr="00157358">
        <w:rPr>
          <w:rFonts w:asciiTheme="majorEastAsia" w:eastAsiaTheme="majorEastAsia" w:hAnsiTheme="majorEastAsia" w:cs="宋体" w:hint="eastAsia"/>
          <w:sz w:val="32"/>
          <w:szCs w:val="32"/>
        </w:rPr>
        <w:t>名词解释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一、一般公共预算拨款收入：指财政部门当年拨付的资金。</w:t>
      </w:r>
    </w:p>
    <w:p w:rsidR="00532B23" w:rsidRPr="00157358" w:rsidRDefault="00532B23">
      <w:pPr>
        <w:adjustRightInd/>
        <w:snapToGrid/>
        <w:spacing w:before="225" w:after="225" w:line="480" w:lineRule="atLeast"/>
        <w:ind w:firstLine="480"/>
        <w:jc w:val="both"/>
        <w:rPr>
          <w:rFonts w:ascii="仿宋" w:eastAsia="仿宋" w:hAnsi="仿宋" w:cs="宋体"/>
          <w:sz w:val="32"/>
          <w:szCs w:val="32"/>
        </w:rPr>
      </w:pPr>
      <w:r w:rsidRPr="00157358">
        <w:rPr>
          <w:rFonts w:ascii="仿宋" w:eastAsia="仿宋" w:hAnsi="仿宋" w:cs="宋体" w:hint="eastAsia"/>
          <w:sz w:val="32"/>
          <w:szCs w:val="32"/>
        </w:rPr>
        <w:t>二、其他收入：指上述“一般公共预算拨款收入”以外的收入。主要是按规定动用的售房收入、存款利息收入等。</w:t>
      </w:r>
    </w:p>
    <w:p w:rsidR="00532B23" w:rsidRPr="00157358" w:rsidRDefault="00532B23">
      <w:pPr>
        <w:adjustRightInd/>
        <w:snapToGrid/>
        <w:spacing w:before="225" w:after="225" w:line="480" w:lineRule="atLeast"/>
        <w:jc w:val="both"/>
        <w:rPr>
          <w:rFonts w:ascii="仿宋" w:eastAsia="仿宋" w:hAnsi="仿宋" w:cs="方正黑体_GBK"/>
          <w:sz w:val="32"/>
          <w:szCs w:val="32"/>
        </w:rPr>
      </w:pPr>
    </w:p>
    <w:sectPr w:rsidR="00532B23" w:rsidRPr="00157358" w:rsidSect="003D4B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A77" w:rsidRDefault="008E0A77" w:rsidP="0091457C">
      <w:pPr>
        <w:spacing w:after="0"/>
      </w:pPr>
      <w:r>
        <w:separator/>
      </w:r>
    </w:p>
  </w:endnote>
  <w:endnote w:type="continuationSeparator" w:id="1">
    <w:p w:rsidR="008E0A77" w:rsidRDefault="008E0A77" w:rsidP="009145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A77" w:rsidRDefault="008E0A77" w:rsidP="0091457C">
      <w:pPr>
        <w:spacing w:after="0"/>
      </w:pPr>
      <w:r>
        <w:separator/>
      </w:r>
    </w:p>
  </w:footnote>
  <w:footnote w:type="continuationSeparator" w:id="1">
    <w:p w:rsidR="008E0A77" w:rsidRDefault="008E0A77" w:rsidP="0091457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1C5A"/>
    <w:multiLevelType w:val="singleLevel"/>
    <w:tmpl w:val="7B7A664E"/>
    <w:lvl w:ilvl="0">
      <w:start w:val="1"/>
      <w:numFmt w:val="chineseCounting"/>
      <w:suff w:val="nothing"/>
      <w:lvlText w:val="（%1）"/>
      <w:lvlJc w:val="left"/>
      <w:rPr>
        <w:rFonts w:cs="Times New Roman"/>
        <w:lang w:val="en-US"/>
      </w:rPr>
    </w:lvl>
  </w:abstractNum>
  <w:abstractNum w:abstractNumId="1">
    <w:nsid w:val="5AD87016"/>
    <w:multiLevelType w:val="singleLevel"/>
    <w:tmpl w:val="5AD87016"/>
    <w:lvl w:ilvl="0">
      <w:start w:val="3"/>
      <w:numFmt w:val="chineseCounting"/>
      <w:suff w:val="nothing"/>
      <w:lvlText w:val="(%1)"/>
      <w:lvlJc w:val="left"/>
      <w:rPr>
        <w:rFonts w:cs="Times New Roman"/>
      </w:rPr>
    </w:lvl>
  </w:abstractNum>
  <w:abstractNum w:abstractNumId="2">
    <w:nsid w:val="5AD878D4"/>
    <w:multiLevelType w:val="singleLevel"/>
    <w:tmpl w:val="5AD878D4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AD8795E"/>
    <w:multiLevelType w:val="singleLevel"/>
    <w:tmpl w:val="5AD8795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7FB6"/>
    <w:rsid w:val="000925E6"/>
    <w:rsid w:val="000D55A7"/>
    <w:rsid w:val="00157358"/>
    <w:rsid w:val="002701FE"/>
    <w:rsid w:val="002C1FFE"/>
    <w:rsid w:val="002F3DB5"/>
    <w:rsid w:val="00305FB9"/>
    <w:rsid w:val="00323B43"/>
    <w:rsid w:val="003D37D8"/>
    <w:rsid w:val="003D4BCE"/>
    <w:rsid w:val="004041F6"/>
    <w:rsid w:val="00426133"/>
    <w:rsid w:val="004358AB"/>
    <w:rsid w:val="00436894"/>
    <w:rsid w:val="00465A34"/>
    <w:rsid w:val="00466395"/>
    <w:rsid w:val="00480C07"/>
    <w:rsid w:val="004B1B44"/>
    <w:rsid w:val="00532B23"/>
    <w:rsid w:val="005A0B21"/>
    <w:rsid w:val="0070393D"/>
    <w:rsid w:val="008B7726"/>
    <w:rsid w:val="008E0A77"/>
    <w:rsid w:val="0091457C"/>
    <w:rsid w:val="00931AF4"/>
    <w:rsid w:val="00953120"/>
    <w:rsid w:val="00A77994"/>
    <w:rsid w:val="00AD2847"/>
    <w:rsid w:val="00BD2972"/>
    <w:rsid w:val="00CA71C5"/>
    <w:rsid w:val="00D31D50"/>
    <w:rsid w:val="00D62D1B"/>
    <w:rsid w:val="00DA6EED"/>
    <w:rsid w:val="00E45C62"/>
    <w:rsid w:val="00EA3BAB"/>
    <w:rsid w:val="00EC5AA8"/>
    <w:rsid w:val="00F37952"/>
    <w:rsid w:val="00F75A1E"/>
    <w:rsid w:val="020C552B"/>
    <w:rsid w:val="03682B41"/>
    <w:rsid w:val="052E527F"/>
    <w:rsid w:val="05560F6F"/>
    <w:rsid w:val="06315894"/>
    <w:rsid w:val="063D052B"/>
    <w:rsid w:val="06E062F9"/>
    <w:rsid w:val="0810299C"/>
    <w:rsid w:val="09193549"/>
    <w:rsid w:val="09351865"/>
    <w:rsid w:val="09D15181"/>
    <w:rsid w:val="09E0247E"/>
    <w:rsid w:val="09F957A4"/>
    <w:rsid w:val="0A021F7D"/>
    <w:rsid w:val="0B6D196C"/>
    <w:rsid w:val="0C41032E"/>
    <w:rsid w:val="0C6F5C38"/>
    <w:rsid w:val="0D146A3D"/>
    <w:rsid w:val="0DE44474"/>
    <w:rsid w:val="0E16386F"/>
    <w:rsid w:val="0E7324B6"/>
    <w:rsid w:val="0EE058D5"/>
    <w:rsid w:val="0F1D0B71"/>
    <w:rsid w:val="10461755"/>
    <w:rsid w:val="11E37272"/>
    <w:rsid w:val="11E5552E"/>
    <w:rsid w:val="126E2697"/>
    <w:rsid w:val="127609A8"/>
    <w:rsid w:val="12E25A72"/>
    <w:rsid w:val="139602A1"/>
    <w:rsid w:val="13F5782D"/>
    <w:rsid w:val="14272007"/>
    <w:rsid w:val="14D43867"/>
    <w:rsid w:val="151002D3"/>
    <w:rsid w:val="15CC7BC8"/>
    <w:rsid w:val="16421601"/>
    <w:rsid w:val="16AC562F"/>
    <w:rsid w:val="16C566FA"/>
    <w:rsid w:val="17102D46"/>
    <w:rsid w:val="174C3D59"/>
    <w:rsid w:val="17B673F4"/>
    <w:rsid w:val="17F14E96"/>
    <w:rsid w:val="18E9546C"/>
    <w:rsid w:val="1AED61B0"/>
    <w:rsid w:val="1AEF11F6"/>
    <w:rsid w:val="1AFB43F0"/>
    <w:rsid w:val="1B40016E"/>
    <w:rsid w:val="1B773041"/>
    <w:rsid w:val="1D1A4DA3"/>
    <w:rsid w:val="1D9C49C9"/>
    <w:rsid w:val="1DE87020"/>
    <w:rsid w:val="1DFE713D"/>
    <w:rsid w:val="1EBC6F8A"/>
    <w:rsid w:val="1EFD2807"/>
    <w:rsid w:val="1F0A772F"/>
    <w:rsid w:val="1F482AD7"/>
    <w:rsid w:val="1FDC1267"/>
    <w:rsid w:val="214F062B"/>
    <w:rsid w:val="2164175A"/>
    <w:rsid w:val="22416B56"/>
    <w:rsid w:val="24131DD9"/>
    <w:rsid w:val="24422335"/>
    <w:rsid w:val="247532C9"/>
    <w:rsid w:val="24EE4097"/>
    <w:rsid w:val="25036C03"/>
    <w:rsid w:val="251F3545"/>
    <w:rsid w:val="26356E91"/>
    <w:rsid w:val="263A5813"/>
    <w:rsid w:val="268515E2"/>
    <w:rsid w:val="26F46E10"/>
    <w:rsid w:val="2707311E"/>
    <w:rsid w:val="277D4FFE"/>
    <w:rsid w:val="284D31C8"/>
    <w:rsid w:val="28784C49"/>
    <w:rsid w:val="2A7B0E59"/>
    <w:rsid w:val="2B6932C1"/>
    <w:rsid w:val="2BB605EE"/>
    <w:rsid w:val="2F325134"/>
    <w:rsid w:val="2F966C3C"/>
    <w:rsid w:val="2FA85112"/>
    <w:rsid w:val="30E60F00"/>
    <w:rsid w:val="31A5676E"/>
    <w:rsid w:val="33BC7265"/>
    <w:rsid w:val="33F16775"/>
    <w:rsid w:val="343239ED"/>
    <w:rsid w:val="348D4339"/>
    <w:rsid w:val="34DB6FD0"/>
    <w:rsid w:val="35165397"/>
    <w:rsid w:val="35341F68"/>
    <w:rsid w:val="356957C0"/>
    <w:rsid w:val="35CA1EC9"/>
    <w:rsid w:val="379907F5"/>
    <w:rsid w:val="37DD396D"/>
    <w:rsid w:val="37E144CF"/>
    <w:rsid w:val="384358B9"/>
    <w:rsid w:val="385D5355"/>
    <w:rsid w:val="386B7B29"/>
    <w:rsid w:val="38D85BAA"/>
    <w:rsid w:val="39172995"/>
    <w:rsid w:val="394F0568"/>
    <w:rsid w:val="39E2558C"/>
    <w:rsid w:val="3A5705DD"/>
    <w:rsid w:val="3A846E8D"/>
    <w:rsid w:val="3A8D506B"/>
    <w:rsid w:val="3AD443F3"/>
    <w:rsid w:val="3B0E4F6B"/>
    <w:rsid w:val="3D643364"/>
    <w:rsid w:val="3DA43C36"/>
    <w:rsid w:val="3E090B81"/>
    <w:rsid w:val="3EB37E5F"/>
    <w:rsid w:val="3F3D5AA3"/>
    <w:rsid w:val="3F6A563D"/>
    <w:rsid w:val="3F9E5D28"/>
    <w:rsid w:val="3FA33E39"/>
    <w:rsid w:val="402362E1"/>
    <w:rsid w:val="4031567D"/>
    <w:rsid w:val="407E466F"/>
    <w:rsid w:val="40D82628"/>
    <w:rsid w:val="40FA4FB2"/>
    <w:rsid w:val="41652A5F"/>
    <w:rsid w:val="419425C0"/>
    <w:rsid w:val="42144B94"/>
    <w:rsid w:val="42696EB3"/>
    <w:rsid w:val="42EB4A9D"/>
    <w:rsid w:val="42F46BFF"/>
    <w:rsid w:val="43537AAC"/>
    <w:rsid w:val="43EA38DD"/>
    <w:rsid w:val="44143E51"/>
    <w:rsid w:val="441C3544"/>
    <w:rsid w:val="443812E5"/>
    <w:rsid w:val="448D76E8"/>
    <w:rsid w:val="449E6BEC"/>
    <w:rsid w:val="45044052"/>
    <w:rsid w:val="464A1386"/>
    <w:rsid w:val="469C1852"/>
    <w:rsid w:val="47E171BE"/>
    <w:rsid w:val="49712DD3"/>
    <w:rsid w:val="498D5C79"/>
    <w:rsid w:val="4A4803EF"/>
    <w:rsid w:val="4A7B6F4E"/>
    <w:rsid w:val="4A952667"/>
    <w:rsid w:val="4BC2066F"/>
    <w:rsid w:val="4BD514DC"/>
    <w:rsid w:val="4C486265"/>
    <w:rsid w:val="4C7422AF"/>
    <w:rsid w:val="4DD74B5C"/>
    <w:rsid w:val="4E54438A"/>
    <w:rsid w:val="4FA06DAB"/>
    <w:rsid w:val="4FD27C0B"/>
    <w:rsid w:val="50DF6870"/>
    <w:rsid w:val="51B241A6"/>
    <w:rsid w:val="534B416B"/>
    <w:rsid w:val="54CB1355"/>
    <w:rsid w:val="54DF3963"/>
    <w:rsid w:val="54ED31C8"/>
    <w:rsid w:val="55223246"/>
    <w:rsid w:val="55D96FF3"/>
    <w:rsid w:val="55EB314B"/>
    <w:rsid w:val="565E7107"/>
    <w:rsid w:val="56D72917"/>
    <w:rsid w:val="57190D4C"/>
    <w:rsid w:val="574D38E0"/>
    <w:rsid w:val="58254C4F"/>
    <w:rsid w:val="589E5574"/>
    <w:rsid w:val="596F4D0A"/>
    <w:rsid w:val="5A6E0773"/>
    <w:rsid w:val="5A7323A1"/>
    <w:rsid w:val="5AA60985"/>
    <w:rsid w:val="5B272971"/>
    <w:rsid w:val="5B6F4EDC"/>
    <w:rsid w:val="5C787C48"/>
    <w:rsid w:val="5F387636"/>
    <w:rsid w:val="5F7E4151"/>
    <w:rsid w:val="615D44B8"/>
    <w:rsid w:val="62757B0E"/>
    <w:rsid w:val="63CB5168"/>
    <w:rsid w:val="64753911"/>
    <w:rsid w:val="64A64FD8"/>
    <w:rsid w:val="65252117"/>
    <w:rsid w:val="654D571C"/>
    <w:rsid w:val="6574656F"/>
    <w:rsid w:val="66661AE8"/>
    <w:rsid w:val="67B57AAA"/>
    <w:rsid w:val="67B67757"/>
    <w:rsid w:val="685161AF"/>
    <w:rsid w:val="68832FA1"/>
    <w:rsid w:val="68AF203C"/>
    <w:rsid w:val="68CB4991"/>
    <w:rsid w:val="695D04E0"/>
    <w:rsid w:val="69987DB5"/>
    <w:rsid w:val="69AB268E"/>
    <w:rsid w:val="6A995A46"/>
    <w:rsid w:val="6A9B35DF"/>
    <w:rsid w:val="6AF440C9"/>
    <w:rsid w:val="6B9152B4"/>
    <w:rsid w:val="6C271F00"/>
    <w:rsid w:val="6C8869C4"/>
    <w:rsid w:val="6CC75BAC"/>
    <w:rsid w:val="6D0A6D64"/>
    <w:rsid w:val="6D0B3513"/>
    <w:rsid w:val="6DE47A78"/>
    <w:rsid w:val="6E116E90"/>
    <w:rsid w:val="6F35023A"/>
    <w:rsid w:val="6F3910B8"/>
    <w:rsid w:val="703A2976"/>
    <w:rsid w:val="705162C7"/>
    <w:rsid w:val="70761E68"/>
    <w:rsid w:val="7187220D"/>
    <w:rsid w:val="71E71121"/>
    <w:rsid w:val="730A7435"/>
    <w:rsid w:val="732111BF"/>
    <w:rsid w:val="73562B47"/>
    <w:rsid w:val="742E106A"/>
    <w:rsid w:val="746139A9"/>
    <w:rsid w:val="74D92CE4"/>
    <w:rsid w:val="74FB7CDC"/>
    <w:rsid w:val="75135623"/>
    <w:rsid w:val="757A581C"/>
    <w:rsid w:val="75A85D12"/>
    <w:rsid w:val="75EF1F91"/>
    <w:rsid w:val="76271B1A"/>
    <w:rsid w:val="76BD1CC7"/>
    <w:rsid w:val="7804644E"/>
    <w:rsid w:val="78314F58"/>
    <w:rsid w:val="78765A00"/>
    <w:rsid w:val="795174A8"/>
    <w:rsid w:val="79954DE6"/>
    <w:rsid w:val="7AD72E07"/>
    <w:rsid w:val="7AF8407C"/>
    <w:rsid w:val="7B4B6916"/>
    <w:rsid w:val="7BE3615A"/>
    <w:rsid w:val="7BF1566B"/>
    <w:rsid w:val="7C67692B"/>
    <w:rsid w:val="7CF87045"/>
    <w:rsid w:val="7D122F7E"/>
    <w:rsid w:val="7D6D573C"/>
    <w:rsid w:val="7D9560CA"/>
    <w:rsid w:val="7D9A4E50"/>
    <w:rsid w:val="7E77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C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5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57C"/>
    <w:rPr>
      <w:rFonts w:ascii="Tahoma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5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57C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12</cp:revision>
  <cp:lastPrinted>2018-04-19T11:25:00Z</cp:lastPrinted>
  <dcterms:created xsi:type="dcterms:W3CDTF">2008-09-11T17:20:00Z</dcterms:created>
  <dcterms:modified xsi:type="dcterms:W3CDTF">2022-02-16T09:41:00Z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