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560" w:lineRule="exact"/>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 xml:space="preserve">    朗县住房和城乡建设局2022年度部门预算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2022年2月16日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spacing w:line="560" w:lineRule="exact"/>
        <w:rPr>
          <w:rFonts w:ascii="方正小标宋简体" w:hAnsi="仿宋" w:eastAsia="方正小标宋简体"/>
          <w:sz w:val="32"/>
          <w:szCs w:val="32"/>
        </w:rPr>
      </w:pPr>
      <w:r>
        <w:rPr>
          <w:rFonts w:hint="eastAsia" w:ascii="方正小标宋简体" w:hAnsi="仿宋" w:eastAsia="方正小标宋简体"/>
          <w:sz w:val="32"/>
          <w:szCs w:val="32"/>
        </w:rPr>
        <w:t>第一部分  朗县住房和城乡建设（部门）概况</w:t>
      </w:r>
    </w:p>
    <w:p>
      <w:pPr>
        <w:spacing w:line="560" w:lineRule="exact"/>
        <w:rPr>
          <w:rFonts w:ascii="黑体" w:hAnsi="黑体" w:eastAsia="黑体"/>
          <w:sz w:val="32"/>
          <w:szCs w:val="32"/>
        </w:rPr>
      </w:pPr>
      <w:r>
        <w:rPr>
          <w:rFonts w:hint="eastAsia" w:ascii="黑体" w:hAnsi="黑体" w:eastAsia="黑体"/>
          <w:sz w:val="32"/>
          <w:szCs w:val="32"/>
        </w:rPr>
        <w:t>一、主要职能</w:t>
      </w:r>
    </w:p>
    <w:p>
      <w:pPr>
        <w:spacing w:line="560" w:lineRule="exact"/>
        <w:rPr>
          <w:rFonts w:ascii="黑体" w:hAnsi="黑体" w:eastAsia="黑体"/>
          <w:sz w:val="32"/>
          <w:szCs w:val="32"/>
        </w:rPr>
      </w:pPr>
      <w:r>
        <w:rPr>
          <w:rFonts w:hint="eastAsia" w:ascii="黑体" w:hAnsi="黑体" w:eastAsia="黑体"/>
          <w:sz w:val="32"/>
          <w:szCs w:val="32"/>
        </w:rPr>
        <w:t>二、部门预算单位构成</w:t>
      </w:r>
    </w:p>
    <w:p>
      <w:pPr>
        <w:spacing w:line="560" w:lineRule="exact"/>
        <w:rPr>
          <w:rFonts w:ascii="方正小标宋简体" w:hAnsi="仿宋" w:eastAsia="方正小标宋简体"/>
          <w:sz w:val="32"/>
          <w:szCs w:val="32"/>
        </w:rPr>
      </w:pPr>
      <w:r>
        <w:rPr>
          <w:rFonts w:hint="eastAsia" w:ascii="方正小标宋简体" w:hAnsi="仿宋" w:eastAsia="方正小标宋简体"/>
          <w:sz w:val="32"/>
          <w:szCs w:val="32"/>
        </w:rPr>
        <w:t>第二部分  朗县住房和城乡建设局（部门）2022年度部门预算明细表</w:t>
      </w:r>
    </w:p>
    <w:p>
      <w:pPr>
        <w:spacing w:line="560" w:lineRule="exact"/>
        <w:rPr>
          <w:rFonts w:ascii="黑体" w:hAnsi="黑体" w:eastAsia="黑体"/>
          <w:sz w:val="32"/>
          <w:szCs w:val="32"/>
        </w:rPr>
      </w:pPr>
      <w:r>
        <w:rPr>
          <w:rFonts w:hint="eastAsia" w:ascii="黑体" w:hAnsi="黑体" w:eastAsia="黑体"/>
          <w:sz w:val="32"/>
          <w:szCs w:val="32"/>
        </w:rPr>
        <w:t>一、部门收支总体情况表</w:t>
      </w:r>
    </w:p>
    <w:p>
      <w:pPr>
        <w:spacing w:line="560" w:lineRule="exact"/>
        <w:rPr>
          <w:rFonts w:ascii="黑体" w:hAnsi="黑体" w:eastAsia="黑体"/>
          <w:sz w:val="32"/>
          <w:szCs w:val="32"/>
        </w:rPr>
      </w:pPr>
      <w:r>
        <w:rPr>
          <w:rFonts w:hint="eastAsia" w:ascii="黑体" w:hAnsi="黑体" w:eastAsia="黑体"/>
          <w:sz w:val="32"/>
          <w:szCs w:val="32"/>
        </w:rPr>
        <w:t>二、部门收入总体情况表</w:t>
      </w:r>
    </w:p>
    <w:p>
      <w:pPr>
        <w:spacing w:line="560" w:lineRule="exact"/>
        <w:rPr>
          <w:rFonts w:ascii="黑体" w:hAnsi="黑体" w:eastAsia="黑体"/>
          <w:sz w:val="32"/>
          <w:szCs w:val="32"/>
        </w:rPr>
      </w:pPr>
      <w:r>
        <w:rPr>
          <w:rFonts w:hint="eastAsia" w:ascii="黑体" w:hAnsi="黑体" w:eastAsia="黑体"/>
          <w:sz w:val="32"/>
          <w:szCs w:val="32"/>
        </w:rPr>
        <w:t>三、部门支出总体情况表</w:t>
      </w:r>
    </w:p>
    <w:p>
      <w:pPr>
        <w:spacing w:line="560" w:lineRule="exact"/>
        <w:rPr>
          <w:rFonts w:ascii="黑体" w:hAnsi="黑体" w:eastAsia="黑体"/>
          <w:sz w:val="32"/>
          <w:szCs w:val="32"/>
        </w:rPr>
      </w:pPr>
      <w:r>
        <w:rPr>
          <w:rFonts w:hint="eastAsia" w:ascii="黑体" w:hAnsi="黑体" w:eastAsia="黑体"/>
          <w:sz w:val="32"/>
          <w:szCs w:val="32"/>
        </w:rPr>
        <w:t>四、财政拨款收支总体情况表</w:t>
      </w:r>
    </w:p>
    <w:p>
      <w:pPr>
        <w:spacing w:line="560" w:lineRule="exact"/>
        <w:rPr>
          <w:rFonts w:ascii="黑体" w:hAnsi="黑体" w:eastAsia="黑体"/>
          <w:sz w:val="32"/>
          <w:szCs w:val="32"/>
        </w:rPr>
      </w:pPr>
      <w:r>
        <w:rPr>
          <w:rFonts w:hint="eastAsia" w:ascii="黑体" w:hAnsi="黑体" w:eastAsia="黑体"/>
          <w:sz w:val="32"/>
          <w:szCs w:val="32"/>
        </w:rPr>
        <w:t>五、一般公共预算支出情况表（按功能分类科目）</w:t>
      </w:r>
    </w:p>
    <w:p>
      <w:pPr>
        <w:spacing w:line="560" w:lineRule="exact"/>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spacing w:line="560" w:lineRule="exact"/>
        <w:rPr>
          <w:rFonts w:ascii="黑体" w:hAnsi="黑体" w:eastAsia="黑体"/>
          <w:sz w:val="32"/>
          <w:szCs w:val="32"/>
        </w:rPr>
      </w:pPr>
      <w:r>
        <w:rPr>
          <w:rFonts w:hint="eastAsia" w:ascii="黑体" w:hAnsi="黑体" w:eastAsia="黑体"/>
          <w:sz w:val="32"/>
          <w:szCs w:val="32"/>
        </w:rPr>
        <w:t>七、一般公共预算“三公”经费支出情况表</w:t>
      </w:r>
    </w:p>
    <w:p>
      <w:pPr>
        <w:spacing w:line="560" w:lineRule="exact"/>
        <w:rPr>
          <w:rFonts w:ascii="黑体" w:hAnsi="黑体" w:eastAsia="黑体"/>
          <w:sz w:val="32"/>
          <w:szCs w:val="32"/>
        </w:rPr>
      </w:pPr>
      <w:r>
        <w:rPr>
          <w:rFonts w:hint="eastAsia" w:ascii="黑体" w:hAnsi="黑体" w:eastAsia="黑体"/>
          <w:sz w:val="32"/>
          <w:szCs w:val="32"/>
        </w:rPr>
        <w:t>八、政府性基金“三公”经费支出情况表</w:t>
      </w:r>
    </w:p>
    <w:p>
      <w:pPr>
        <w:spacing w:line="560" w:lineRule="exact"/>
        <w:rPr>
          <w:rFonts w:ascii="黑体" w:hAnsi="黑体" w:eastAsia="黑体"/>
          <w:sz w:val="32"/>
          <w:szCs w:val="32"/>
        </w:rPr>
      </w:pPr>
      <w:r>
        <w:rPr>
          <w:rFonts w:hint="eastAsia" w:ascii="黑体" w:hAnsi="黑体" w:eastAsia="黑体"/>
          <w:sz w:val="32"/>
          <w:szCs w:val="32"/>
        </w:rPr>
        <w:t>九、政府性基金预算支出情况表</w:t>
      </w:r>
    </w:p>
    <w:p>
      <w:pPr>
        <w:spacing w:line="560" w:lineRule="exact"/>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spacing w:line="560" w:lineRule="exact"/>
        <w:rPr>
          <w:rFonts w:ascii="黑体" w:hAnsi="黑体" w:eastAsia="黑体"/>
          <w:sz w:val="32"/>
          <w:szCs w:val="32"/>
        </w:rPr>
      </w:pPr>
      <w:r>
        <w:rPr>
          <w:rFonts w:hint="eastAsia" w:ascii="黑体" w:hAnsi="黑体" w:eastAsia="黑体"/>
          <w:sz w:val="32"/>
          <w:szCs w:val="32"/>
        </w:rPr>
        <w:t>十一、项目支出绩效表</w:t>
      </w:r>
    </w:p>
    <w:p>
      <w:pPr>
        <w:spacing w:line="560" w:lineRule="exact"/>
        <w:rPr>
          <w:rFonts w:ascii="方正小标宋简体" w:hAnsi="仿宋" w:eastAsia="方正小标宋简体"/>
          <w:sz w:val="32"/>
          <w:szCs w:val="32"/>
        </w:rPr>
      </w:pPr>
      <w:r>
        <w:rPr>
          <w:rFonts w:hint="eastAsia" w:ascii="方正小标宋简体" w:hAnsi="仿宋" w:eastAsia="方正小标宋简体"/>
          <w:sz w:val="32"/>
          <w:szCs w:val="32"/>
        </w:rPr>
        <w:t>第三部分  朗县住房和城乡建设局2022（部门）年度部门预算数据分析</w:t>
      </w:r>
    </w:p>
    <w:p>
      <w:pPr>
        <w:spacing w:line="560" w:lineRule="exact"/>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朗县住房和城乡建设局（部门）概况</w:t>
      </w: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1、负责贯彻执行国家、自治区和市关于住房和城乡建设事业的方针政策和法规，综合管理全县工程建设、城市建设、村镇建设，组织实施全县建设执法监察和建设行政执法监督检查。</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2、负责朗县保障性住房的建设和管理。根据国家有关政策、法规及自治区建筑行业发展总体部署，结合朗县实际，研究制定工程建设、城乡建设、村镇建设、房地产的有关规定，产业政策、中长期规划和发展战略，并组织实施。</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3、培育发展朗县建筑市场、房地产市场，规范市场行为，发挥市场机制作用；贯彻工程建设实施阶段的国家标准、规范、全国统一定额和建设行业标准定额。</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4、协助有关部门联合制定县建设项目可行性研究经济评价方法、经济参数、投资估算、建设工期、建设用地指标和工程造价管理等。</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5、制定朗县工程建设设计、施工等制度综合监督管理建设工程的招投标和工程造价、工程合同、工程监理、工程质量。</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6、管理县城镇规划、勘察及市政工程测量工作；负责各乡镇总体规划的审查报批；管理城市建设档案。</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7、负贵房地产业的行业管理，指导房地产开发经营，房屋商品化工作，规范房地产市场；参与指导城镇土地使用权有偿转让，指导推进城镇住宅建设，负责制定住房制度改革方案和实施意见，并组织实施。</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8、指导全县村镇的规划建设工作，推进村镇发展建设。</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9、参与制定县行业科技发展规划，参与指导管理建筑技术引进工作；负责建筑节能的监督管理，指导新型建筑材料的推广使用。</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10、参与制定县建筑行业人才培养规划，加强职工队伍培训和继续教育；综合管理建筑抗震设防工作；负责建材产品质量的监督检查和在施工现场的准入管理，参与对建材市场和建筑构配件加工企业的资质管理、许可证管理和行业管理。</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11、承担推进朗县住房制度改革的责任和建设任务，执行廉租住房、周转房、经济适用住房等保障性住房规划政策及建设，会同有关部门做好朗县有关廉租住房资金安排并负责组织实施；编制县住房保障发展规划和年度计划并组织实施。</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12、拟订朗县风景名胜区的发展规划、并组织实施，协助相关部门做好国家级风景名胜区的申报工作；承担藏式传统建筑研究、保护、开发和利用工作。</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13、组织实施重大市政建设项目。</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14、承办县政府交办的其他事项。</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15、贯彻实施国家、自治区、地区有关工程质量的法律、法规、工程技术标准，管理和指导本县的工程质量监督和工程检测业务工作，开展相应的技术培训；</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16、组织开展本县建设工程质量检查，掌握本县工程质量状况，及时总结、交流和推广工程质量管理经验；按照国家及区、市制定的有关工程质量管理的法律法规和工程技术标准，对受监工程建设各方责任主体及有关机构履行质量职责情况和工程实物质量情况进行监督检查；向工程备案管理机构提交工程质量监督报告；负责本县房屋建筑工程和市政基础设施工程竣工验收备案管理工作；对工程参建各方责任主体和有关机构质量信誉进行管理；</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17、对责任主体和有关机构违法、违规行为进行调查取证和核实，提出处罚建议或按委托权限对违法违规行为实施行政处罚；组织开展本县工程质量问题的技术鉴定；</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18、参与本县重大质量事故的调查处理，组织县优质工程的核验评审，推荐本县优质工程；负责对施工方、监理方、建设方在执行法律法规和工程建设强制性标准的情况进行监督检查；抽查工程质量责任主体和质量检测等单位的工程质量行为；抽查主要建筑材料和建筑结构、配件的质量；</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19、负责工程竣工验收；监督组织或参与工程质量事故的调查处理定期对本县工程质量状况进行统计分析；负责依法对违法违规行为实施处罚，受理工程安全监督，对施工现场工程建设各方主体的质量安全行为进行监督检查，并负责建设工程施工现场安全生产专项检查的组织协调工作；参与建设工程安全事故的调查及突发事件的应急处理；</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20、负责工程监理工作的指导与协调，负责工程质量监督与检测工作；对设计深度进行监督检查，负责建设项目的验收，对重大质量事故的调查处理；负责本县城市基础设施、房屋建筑项目建设中的组织协调和监督；</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21、指导规范本县建筑市场，拟订规范建筑市场各方主体的市场行为以及工程招投标、建设监理、建筑安全生产、建筑工程质量、合同管理和工程风险管理的规章制度，并监督执行组织或参与工程重要质量、安全事故的调查处理；</w:t>
      </w:r>
    </w:p>
    <w:p>
      <w:pPr>
        <w:ind w:firstLine="640" w:firstLineChars="200"/>
        <w:rPr>
          <w:rFonts w:ascii="仿宋" w:hAnsi="仿宋" w:eastAsia="仿宋"/>
          <w:sz w:val="32"/>
          <w:szCs w:val="32"/>
        </w:rPr>
      </w:pPr>
      <w:r>
        <w:rPr>
          <w:rFonts w:hint="eastAsia" w:ascii="仿宋" w:hAnsi="仿宋" w:eastAsia="仿宋" w:cs="仿宋"/>
          <w:kern w:val="0"/>
          <w:sz w:val="32"/>
          <w:szCs w:val="32"/>
        </w:rPr>
        <w:t>22、负责各类房屋建筑及附属设施的制造和与其配套的线路管道和设备的安装项目的招投标活动的监督执法；指导和监督本县有形建筑市场；负责本县建筑质量监督站在监工程结构、地基、构件及其原材料的检验；负责本县工程施工及建设单位的委托检验。</w:t>
      </w: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朗县住房和城乡建设局下设副科级朗县工程质量监督检查站、副科级城市管理综合大队、股级环卫队。</w:t>
      </w:r>
    </w:p>
    <w:p>
      <w:pPr>
        <w:ind w:firstLine="640" w:firstLineChars="200"/>
        <w:rPr>
          <w:rFonts w:ascii="仿宋" w:hAnsi="仿宋" w:eastAsia="仿宋"/>
          <w:sz w:val="32"/>
          <w:szCs w:val="32"/>
        </w:rPr>
      </w:pPr>
      <w:r>
        <w:rPr>
          <w:rFonts w:hint="eastAsia" w:ascii="仿宋" w:hAnsi="仿宋" w:eastAsia="仿宋"/>
          <w:sz w:val="32"/>
          <w:szCs w:val="32"/>
        </w:rPr>
        <w:t>纳入本部门2022年部门预算编制范围的预算单位包括：朗县工程质量监督检查站、副科级城市管理综合大队、股级环卫队。</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朗县住房和城乡建设局（部门）2022年度预算明细表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黑体" w:hAnsi="黑体" w:eastAsia="黑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 xml:space="preserve">       朗县住房和城乡建设局（部门）2022年度部门预算数据分析</w:t>
      </w:r>
    </w:p>
    <w:p>
      <w:pPr>
        <w:rPr>
          <w:rFonts w:ascii="黑体" w:hAnsi="黑体" w:eastAsia="黑体"/>
          <w:sz w:val="32"/>
          <w:szCs w:val="32"/>
        </w:rPr>
      </w:pPr>
      <w:r>
        <w:rPr>
          <w:rFonts w:hint="eastAsia" w:ascii="黑体" w:hAnsi="黑体" w:eastAsia="黑体"/>
          <w:sz w:val="32"/>
          <w:szCs w:val="32"/>
        </w:rPr>
        <w:t>一、2022年部门收支总表的说明</w:t>
      </w:r>
    </w:p>
    <w:p>
      <w:pPr>
        <w:ind w:firstLine="640" w:firstLineChars="200"/>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rPr>
        <w:t>2022年收支总预算822.48万元。收入包括：一般公共预算拨款收入</w:t>
      </w:r>
      <w:r>
        <w:rPr>
          <w:rFonts w:hint="eastAsia" w:ascii="仿宋" w:hAnsi="仿宋" w:eastAsia="仿宋"/>
          <w:color w:val="000000" w:themeColor="text1"/>
          <w:sz w:val="32"/>
          <w:szCs w:val="32"/>
          <w:lang w:val="en-US" w:eastAsia="zh-CN"/>
        </w:rPr>
        <w:t>582.26万元，财政基建办结转资金240.22万元</w:t>
      </w:r>
      <w:r>
        <w:rPr>
          <w:rFonts w:hint="eastAsia" w:ascii="仿宋" w:hAnsi="仿宋" w:eastAsia="仿宋"/>
          <w:color w:val="000000" w:themeColor="text1"/>
          <w:sz w:val="32"/>
          <w:szCs w:val="32"/>
        </w:rPr>
        <w:t>；支出包括：社会保障和就业支出、卫生健康支出、资源勘探信息等支出、住房保障支出。</w:t>
      </w:r>
      <w:r>
        <w:rPr>
          <w:rFonts w:hint="eastAsia" w:ascii="仿宋" w:hAnsi="仿宋" w:eastAsia="仿宋"/>
          <w:color w:val="000000" w:themeColor="text1"/>
          <w:sz w:val="32"/>
          <w:szCs w:val="32"/>
          <w:lang w:eastAsia="zh-CN"/>
        </w:rPr>
        <w:t>无政府性基金预算拨款。</w:t>
      </w:r>
    </w:p>
    <w:p>
      <w:pPr>
        <w:rPr>
          <w:rFonts w:ascii="黑体" w:hAnsi="黑体" w:eastAsia="黑体"/>
          <w:color w:val="000000" w:themeColor="text1"/>
          <w:sz w:val="32"/>
          <w:szCs w:val="32"/>
        </w:rPr>
      </w:pPr>
      <w:r>
        <w:rPr>
          <w:rFonts w:hint="eastAsia" w:ascii="黑体" w:hAnsi="黑体" w:eastAsia="黑体"/>
          <w:color w:val="000000" w:themeColor="text1"/>
          <w:sz w:val="32"/>
          <w:szCs w:val="32"/>
        </w:rPr>
        <w:t>二、2022年度部门收入总表的说明</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朗县住建局2022年财政拨款收入预822.48万元，其中：上年财政基建办结转240.22万元，2022年一般公共预算582.26万元，无政府性基金预算拨款；当年财政拨款582.26万元，占71%；</w:t>
      </w:r>
    </w:p>
    <w:p>
      <w:pPr>
        <w:rPr>
          <w:rFonts w:ascii="黑体" w:hAnsi="黑体" w:eastAsia="黑体"/>
          <w:color w:val="000000" w:themeColor="text1"/>
          <w:sz w:val="32"/>
          <w:szCs w:val="32"/>
        </w:rPr>
      </w:pPr>
      <w:r>
        <w:rPr>
          <w:rFonts w:hint="eastAsia" w:ascii="黑体" w:hAnsi="黑体" w:eastAsia="黑体"/>
          <w:color w:val="000000" w:themeColor="text1"/>
          <w:sz w:val="32"/>
          <w:szCs w:val="32"/>
        </w:rPr>
        <w:t>三、2022年部门支出总表的说明.</w:t>
      </w:r>
      <w:bookmarkStart w:id="0" w:name="_GoBack"/>
      <w:bookmarkEnd w:id="0"/>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2022年支出预算822.48万元，其中：基本支出506.05万元，占62%；项目支出316.43万元，占38%。</w:t>
      </w:r>
    </w:p>
    <w:p>
      <w:pPr>
        <w:rPr>
          <w:rFonts w:ascii="黑体" w:hAnsi="黑体" w:eastAsia="黑体"/>
          <w:color w:val="000000" w:themeColor="text1"/>
          <w:sz w:val="32"/>
          <w:szCs w:val="32"/>
        </w:rPr>
      </w:pPr>
      <w:r>
        <w:rPr>
          <w:rFonts w:hint="eastAsia" w:ascii="黑体" w:hAnsi="黑体" w:eastAsia="黑体"/>
          <w:color w:val="000000" w:themeColor="text1"/>
          <w:sz w:val="32"/>
          <w:szCs w:val="32"/>
        </w:rPr>
        <w:t>四、2022年财政拨款收支总表的说明</w:t>
      </w:r>
    </w:p>
    <w:p>
      <w:pPr>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2022年财政拨款收支总预算822.48万元。收入为一般公共预算拨款822.48万元，包括：一般公共预算当年拨款收入822.48万元、上年结转240.22万元；支出包括：社会保障和就业支出0.32万元、卫生健康支出23.93万元、资源勘探信息等支出452.7、住房保障支出</w:t>
      </w:r>
      <w:r>
        <w:rPr>
          <w:rFonts w:ascii="仿宋" w:hAnsi="仿宋" w:eastAsia="仿宋"/>
          <w:color w:val="000000" w:themeColor="text1"/>
          <w:sz w:val="32"/>
          <w:szCs w:val="32"/>
        </w:rPr>
        <w:t>331.63</w:t>
      </w:r>
      <w:r>
        <w:rPr>
          <w:rFonts w:hint="eastAsia" w:ascii="仿宋" w:hAnsi="仿宋" w:eastAsia="仿宋"/>
          <w:color w:val="000000" w:themeColor="text1"/>
          <w:sz w:val="32"/>
          <w:szCs w:val="32"/>
        </w:rPr>
        <w:t>万元,其它支出13.9万元。</w:t>
      </w:r>
    </w:p>
    <w:p>
      <w:pPr>
        <w:rPr>
          <w:rFonts w:ascii="黑体" w:hAnsi="黑体" w:eastAsia="黑体"/>
          <w:color w:val="000000" w:themeColor="text1"/>
          <w:sz w:val="32"/>
          <w:szCs w:val="32"/>
        </w:rPr>
      </w:pPr>
    </w:p>
    <w:p>
      <w:pPr>
        <w:rPr>
          <w:rFonts w:ascii="黑体" w:hAnsi="黑体" w:eastAsia="黑体"/>
          <w:color w:val="000000" w:themeColor="text1"/>
          <w:sz w:val="32"/>
          <w:szCs w:val="32"/>
        </w:rPr>
      </w:pPr>
      <w:r>
        <w:rPr>
          <w:rFonts w:hint="eastAsia" w:ascii="黑体" w:hAnsi="黑体" w:eastAsia="黑体"/>
          <w:color w:val="000000" w:themeColor="text1"/>
          <w:sz w:val="32"/>
          <w:szCs w:val="32"/>
        </w:rPr>
        <w:t>五、2022年一般公共预算支出表的说明</w:t>
      </w:r>
    </w:p>
    <w:p>
      <w:pPr>
        <w:rPr>
          <w:rFonts w:ascii="楷体" w:hAnsi="楷体" w:eastAsia="楷体"/>
          <w:color w:val="000000" w:themeColor="text1"/>
          <w:sz w:val="32"/>
          <w:szCs w:val="32"/>
        </w:rPr>
      </w:pPr>
      <w:r>
        <w:rPr>
          <w:rFonts w:hint="eastAsia" w:ascii="楷体" w:hAnsi="楷体" w:eastAsia="楷体"/>
          <w:color w:val="000000" w:themeColor="text1"/>
          <w:sz w:val="32"/>
          <w:szCs w:val="32"/>
        </w:rPr>
        <w:t>（一）一般公共预算当年拨款规模变化情况。</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2022年一般公共预算当年拨款822.48万元,比2021 年执行数增加310.78万元，主要原因：工资增长，预算相对增长。</w:t>
      </w:r>
    </w:p>
    <w:p>
      <w:pPr>
        <w:rPr>
          <w:rFonts w:ascii="楷体" w:hAnsi="楷体" w:eastAsia="楷体"/>
          <w:color w:val="000000" w:themeColor="text1"/>
          <w:sz w:val="32"/>
          <w:szCs w:val="32"/>
        </w:rPr>
      </w:pPr>
      <w:r>
        <w:rPr>
          <w:rFonts w:hint="eastAsia" w:ascii="楷体" w:hAnsi="楷体" w:eastAsia="楷体"/>
          <w:color w:val="000000" w:themeColor="text1"/>
          <w:sz w:val="32"/>
          <w:szCs w:val="32"/>
        </w:rPr>
        <w:t>（二）一般公共预算当年拨款结构情况。</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社会保障和就业支出0.32万元，占0.04%；卫生健康支出23.93万元，占2.91%；资源勘探信息等支出452.7万元，占55.04%，住房保障支出</w:t>
      </w:r>
      <w:r>
        <w:rPr>
          <w:rFonts w:ascii="仿宋" w:hAnsi="仿宋" w:eastAsia="仿宋"/>
          <w:color w:val="000000" w:themeColor="text1"/>
          <w:sz w:val="32"/>
          <w:szCs w:val="32"/>
        </w:rPr>
        <w:t>331.63</w:t>
      </w:r>
      <w:r>
        <w:rPr>
          <w:rFonts w:hint="eastAsia" w:ascii="仿宋" w:hAnsi="仿宋" w:eastAsia="仿宋"/>
          <w:color w:val="000000" w:themeColor="text1"/>
          <w:sz w:val="32"/>
          <w:szCs w:val="32"/>
        </w:rPr>
        <w:t>万元，占40.32%。其他支出13.9万元，占1.69%.</w:t>
      </w:r>
    </w:p>
    <w:p>
      <w:pPr>
        <w:rPr>
          <w:rFonts w:ascii="楷体" w:hAnsi="楷体" w:eastAsia="楷体"/>
          <w:color w:val="000000" w:themeColor="text1"/>
          <w:sz w:val="32"/>
          <w:szCs w:val="32"/>
        </w:rPr>
      </w:pPr>
      <w:r>
        <w:rPr>
          <w:rFonts w:hint="eastAsia" w:ascii="楷体" w:hAnsi="楷体" w:eastAsia="楷体"/>
          <w:color w:val="000000" w:themeColor="text1"/>
          <w:sz w:val="32"/>
          <w:szCs w:val="32"/>
        </w:rPr>
        <w:t>（三）一般公共预算当年拨款具体使用情况。</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对</w:t>
      </w:r>
      <w:r>
        <w:rPr>
          <w:rFonts w:ascii="仿宋" w:hAnsi="仿宋" w:eastAsia="仿宋"/>
          <w:color w:val="000000" w:themeColor="text1"/>
          <w:sz w:val="32"/>
          <w:szCs w:val="32"/>
        </w:rPr>
        <w:t>本部门</w:t>
      </w:r>
      <w:r>
        <w:rPr>
          <w:rFonts w:hint="eastAsia" w:ascii="仿宋" w:hAnsi="仿宋" w:eastAsia="仿宋"/>
          <w:color w:val="000000" w:themeColor="text1"/>
          <w:sz w:val="32"/>
          <w:szCs w:val="32"/>
        </w:rPr>
        <w:t>一般</w:t>
      </w:r>
      <w:r>
        <w:rPr>
          <w:rFonts w:ascii="仿宋" w:hAnsi="仿宋" w:eastAsia="仿宋"/>
          <w:color w:val="000000" w:themeColor="text1"/>
          <w:sz w:val="32"/>
          <w:szCs w:val="32"/>
        </w:rPr>
        <w:t>公共预算支出</w:t>
      </w:r>
      <w:r>
        <w:rPr>
          <w:rFonts w:hint="eastAsia" w:ascii="仿宋" w:hAnsi="仿宋" w:eastAsia="仿宋"/>
          <w:color w:val="000000" w:themeColor="text1"/>
          <w:sz w:val="32"/>
          <w:szCs w:val="32"/>
        </w:rPr>
        <w:t>功能分类项级</w:t>
      </w:r>
      <w:r>
        <w:rPr>
          <w:rFonts w:ascii="仿宋" w:hAnsi="仿宋" w:eastAsia="仿宋"/>
          <w:color w:val="000000" w:themeColor="text1"/>
          <w:sz w:val="32"/>
          <w:szCs w:val="32"/>
        </w:rPr>
        <w:t>科目</w:t>
      </w:r>
      <w:r>
        <w:rPr>
          <w:rFonts w:hint="eastAsia" w:ascii="仿宋" w:hAnsi="仿宋" w:eastAsia="仿宋"/>
          <w:color w:val="000000" w:themeColor="text1"/>
          <w:sz w:val="32"/>
          <w:szCs w:val="32"/>
        </w:rPr>
        <w:t>增减变化进行</w:t>
      </w:r>
      <w:r>
        <w:rPr>
          <w:rFonts w:ascii="仿宋" w:hAnsi="仿宋" w:eastAsia="仿宋"/>
          <w:color w:val="000000" w:themeColor="text1"/>
          <w:sz w:val="32"/>
          <w:szCs w:val="32"/>
        </w:rPr>
        <w:t>说明。</w:t>
      </w:r>
    </w:p>
    <w:p>
      <w:pPr>
        <w:numPr>
          <w:ilvl w:val="0"/>
          <w:numId w:val="1"/>
        </w:num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社会保障和就业支出（类）财政对其它社会保险基金的补助（款）财政对失业保险基金的补助（项）2022年预算数为0.09万元，比2021年执行数减少0.55万元，下降 85.93%主要是基数调整。</w:t>
      </w:r>
    </w:p>
    <w:p>
      <w:pPr>
        <w:numPr>
          <w:ilvl w:val="0"/>
          <w:numId w:val="1"/>
        </w:num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社会保障和就业支出（类）财政对其他社会保险基金的补助（款）财政对工伤保险基金的补助（项）2022年预算数为0.23万元，比2021年执行数减少0.24万元，下降51.06%。主要是人员增加。</w:t>
      </w:r>
    </w:p>
    <w:p>
      <w:pPr>
        <w:rPr>
          <w:rFonts w:ascii="仿宋" w:hAnsi="仿宋" w:eastAsia="仿宋"/>
          <w:color w:val="000000" w:themeColor="text1"/>
          <w:sz w:val="32"/>
          <w:szCs w:val="32"/>
        </w:rPr>
      </w:pPr>
      <w:r>
        <w:rPr>
          <w:rFonts w:hint="eastAsia" w:ascii="仿宋" w:hAnsi="仿宋" w:eastAsia="仿宋"/>
          <w:color w:val="000000" w:themeColor="text1"/>
          <w:sz w:val="32"/>
          <w:szCs w:val="32"/>
        </w:rPr>
        <w:t>3.卫生健康支出（类）行政事业单位医疗（款）公务员医疗补助（项）2022年预算数为4.19万元，比2021 年执行数减少0.68万元，下降13.96%。主要是公务员医疗补助调整。</w:t>
      </w:r>
    </w:p>
    <w:p>
      <w:pPr>
        <w:rPr>
          <w:rFonts w:ascii="仿宋" w:hAnsi="仿宋" w:eastAsia="仿宋"/>
          <w:color w:val="000000" w:themeColor="text1"/>
          <w:sz w:val="32"/>
          <w:szCs w:val="32"/>
        </w:rPr>
      </w:pPr>
      <w:r>
        <w:rPr>
          <w:rFonts w:hint="eastAsia" w:ascii="仿宋" w:hAnsi="仿宋" w:eastAsia="仿宋"/>
          <w:color w:val="000000" w:themeColor="text1"/>
          <w:sz w:val="32"/>
          <w:szCs w:val="32"/>
        </w:rPr>
        <w:t>4.卫生健康支出（类）财政对基本医疗保险基金的补助（款）财政对职工基本医疗保险基金的补助（项）2022年预算数为19.74万元，比2021 年执行数增加为5.63万元，提高39.9%，主要原因是保险基数提高。</w:t>
      </w:r>
    </w:p>
    <w:p>
      <w:pPr>
        <w:rPr>
          <w:rFonts w:ascii="仿宋" w:hAnsi="仿宋" w:eastAsia="仿宋"/>
          <w:color w:val="000000" w:themeColor="text1"/>
          <w:sz w:val="32"/>
          <w:szCs w:val="32"/>
        </w:rPr>
      </w:pPr>
      <w:r>
        <w:rPr>
          <w:rFonts w:hint="eastAsia" w:ascii="仿宋" w:hAnsi="仿宋" w:eastAsia="仿宋"/>
          <w:color w:val="000000" w:themeColor="text1"/>
          <w:sz w:val="32"/>
          <w:szCs w:val="32"/>
        </w:rPr>
        <w:t>5.资源勘探工业信息支出（类）建筑业（款）行政运行（项）2022年预算数为452.7万元，比2021 年执行数增加98.04万元，上升28%。</w:t>
      </w:r>
    </w:p>
    <w:p>
      <w:pPr>
        <w:ind w:firstLine="320" w:firstLineChars="100"/>
        <w:rPr>
          <w:rFonts w:ascii="仿宋_GB2312" w:hAnsi="仿宋" w:eastAsia="仿宋_GB2312"/>
          <w:color w:val="000000" w:themeColor="text1"/>
          <w:sz w:val="32"/>
          <w:szCs w:val="32"/>
        </w:rPr>
      </w:pPr>
      <w:r>
        <w:rPr>
          <w:rFonts w:hint="eastAsia" w:ascii="仿宋" w:hAnsi="仿宋" w:eastAsia="仿宋"/>
          <w:color w:val="000000" w:themeColor="text1"/>
          <w:sz w:val="32"/>
          <w:szCs w:val="32"/>
        </w:rPr>
        <w:t>6.</w:t>
      </w:r>
      <w:r>
        <w:rPr>
          <w:rFonts w:hint="eastAsia" w:ascii="仿宋_GB2312" w:hAnsi="仿宋" w:eastAsia="仿宋_GB2312"/>
          <w:color w:val="000000" w:themeColor="text1"/>
          <w:sz w:val="32"/>
          <w:szCs w:val="32"/>
        </w:rPr>
        <w:t>住房保障支出（类）保障性安居工程支出（款）保障性住房租金补贴（项）2022年预算数为2.31万元，比2021 年执行数减少49.1万元，下降95.5%。主要是职能变更，预算调整；</w:t>
      </w:r>
    </w:p>
    <w:p>
      <w:pPr>
        <w:ind w:firstLine="320" w:firstLineChars="100"/>
        <w:rPr>
          <w:rFonts w:ascii="仿宋" w:hAnsi="仿宋" w:eastAsia="仿宋"/>
          <w:color w:val="000000" w:themeColor="text1"/>
          <w:sz w:val="32"/>
          <w:szCs w:val="32"/>
        </w:rPr>
      </w:pPr>
      <w:r>
        <w:rPr>
          <w:rFonts w:hint="eastAsia" w:ascii="仿宋" w:hAnsi="仿宋" w:eastAsia="仿宋"/>
          <w:color w:val="000000" w:themeColor="text1"/>
          <w:sz w:val="32"/>
          <w:szCs w:val="32"/>
        </w:rPr>
        <w:t>8.住房保障支出（类）住房改革支出（款）住房公积金（项）2022年预算数为29.1万元，比2021 年执行数减少7.37万元，下降 33.92%，主要是公积金基数调整。</w:t>
      </w:r>
    </w:p>
    <w:p>
      <w:pPr>
        <w:ind w:firstLine="320" w:firstLineChars="100"/>
        <w:rPr>
          <w:rFonts w:ascii="仿宋" w:hAnsi="仿宋" w:eastAsia="仿宋"/>
          <w:color w:val="000000" w:themeColor="text1"/>
          <w:sz w:val="32"/>
          <w:szCs w:val="32"/>
        </w:rPr>
      </w:pPr>
      <w:r>
        <w:rPr>
          <w:rFonts w:hint="eastAsia" w:ascii="仿宋" w:hAnsi="仿宋" w:eastAsia="仿宋"/>
          <w:sz w:val="32"/>
          <w:szCs w:val="32"/>
        </w:rPr>
        <w:t>8.其它支出（类）其它支出（款）其它支出（项</w:t>
      </w:r>
      <w:r>
        <w:rPr>
          <w:rFonts w:hint="eastAsia" w:ascii="仿宋" w:hAnsi="仿宋" w:eastAsia="仿宋"/>
          <w:color w:val="000000" w:themeColor="text1"/>
          <w:sz w:val="32"/>
          <w:szCs w:val="32"/>
        </w:rPr>
        <w:t>）13.9万元，比去年增加100%。</w:t>
      </w:r>
    </w:p>
    <w:p>
      <w:pPr>
        <w:rPr>
          <w:rFonts w:ascii="黑体" w:hAnsi="黑体" w:eastAsia="黑体"/>
          <w:color w:val="000000" w:themeColor="text1"/>
          <w:sz w:val="32"/>
          <w:szCs w:val="32"/>
        </w:rPr>
      </w:pPr>
      <w:r>
        <w:rPr>
          <w:rFonts w:hint="eastAsia" w:ascii="黑体" w:hAnsi="黑体" w:eastAsia="黑体"/>
          <w:color w:val="000000" w:themeColor="text1"/>
          <w:sz w:val="32"/>
          <w:szCs w:val="32"/>
        </w:rPr>
        <w:t>六、2022年一般公共预算基本支出表的说明</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2022年一般公共预算基本支出506.05万元，其中：</w:t>
      </w:r>
    </w:p>
    <w:p>
      <w:pPr>
        <w:ind w:firstLine="640" w:firstLineChars="200"/>
        <w:rPr>
          <w:rFonts w:ascii="仿宋" w:hAnsi="仿宋" w:eastAsia="仿宋"/>
          <w:sz w:val="32"/>
          <w:szCs w:val="32"/>
        </w:rPr>
      </w:pPr>
      <w:r>
        <w:rPr>
          <w:rFonts w:hint="eastAsia" w:ascii="仿宋" w:hAnsi="仿宋" w:eastAsia="仿宋"/>
          <w:color w:val="000000" w:themeColor="text1"/>
          <w:sz w:val="32"/>
          <w:szCs w:val="32"/>
        </w:rPr>
        <w:t>人员经费484.16万元，主要包括：</w:t>
      </w:r>
      <w:r>
        <w:rPr>
          <w:rFonts w:ascii="仿宋" w:hAnsi="仿宋" w:eastAsia="仿宋"/>
          <w:color w:val="000000" w:themeColor="text1"/>
          <w:sz w:val="32"/>
          <w:szCs w:val="32"/>
        </w:rPr>
        <w:t>工资性支出</w:t>
      </w:r>
      <w:r>
        <w:rPr>
          <w:rFonts w:hint="eastAsia" w:ascii="仿宋" w:hAnsi="仿宋" w:eastAsia="仿宋"/>
          <w:color w:val="000000" w:themeColor="text1"/>
          <w:sz w:val="32"/>
          <w:szCs w:val="32"/>
        </w:rPr>
        <w:t>（基本工资、津贴补贴、奖金</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ascii="仿宋" w:hAnsi="仿宋" w:eastAsia="仿宋"/>
          <w:color w:val="000000" w:themeColor="text1"/>
          <w:sz w:val="32"/>
          <w:szCs w:val="32"/>
        </w:rPr>
        <w:t>机关事业单位养老保险缴费</w:t>
      </w:r>
      <w:r>
        <w:rPr>
          <w:rFonts w:hint="eastAsia" w:ascii="仿宋" w:hAnsi="仿宋" w:eastAsia="仿宋"/>
          <w:color w:val="000000" w:themeColor="text1"/>
          <w:sz w:val="32"/>
          <w:szCs w:val="32"/>
        </w:rPr>
        <w:t>、</w:t>
      </w:r>
      <w:r>
        <w:rPr>
          <w:rFonts w:ascii="仿宋" w:hAnsi="仿宋" w:eastAsia="仿宋"/>
          <w:color w:val="000000" w:themeColor="text1"/>
          <w:sz w:val="32"/>
          <w:szCs w:val="32"/>
        </w:rPr>
        <w:t>城镇职工基本医疗保险缴费</w:t>
      </w:r>
      <w:r>
        <w:rPr>
          <w:rFonts w:hint="eastAsia" w:ascii="仿宋" w:hAnsi="仿宋" w:eastAsia="仿宋"/>
          <w:color w:val="000000" w:themeColor="text1"/>
          <w:sz w:val="32"/>
          <w:szCs w:val="32"/>
        </w:rPr>
        <w:t>、</w:t>
      </w:r>
      <w:r>
        <w:rPr>
          <w:rFonts w:ascii="仿宋" w:hAnsi="仿宋" w:eastAsia="仿宋"/>
          <w:color w:val="000000" w:themeColor="text1"/>
          <w:sz w:val="32"/>
          <w:szCs w:val="32"/>
        </w:rPr>
        <w:t>公务员医疗补助</w:t>
      </w:r>
      <w:r>
        <w:rPr>
          <w:rFonts w:hint="eastAsia" w:ascii="仿宋" w:hAnsi="仿宋" w:eastAsia="仿宋"/>
          <w:color w:val="000000" w:themeColor="text1"/>
          <w:sz w:val="32"/>
          <w:szCs w:val="32"/>
        </w:rPr>
        <w:t>、</w:t>
      </w:r>
      <w:r>
        <w:rPr>
          <w:rFonts w:ascii="仿宋" w:hAnsi="仿宋" w:eastAsia="仿宋"/>
          <w:color w:val="000000" w:themeColor="text1"/>
          <w:sz w:val="32"/>
          <w:szCs w:val="32"/>
        </w:rPr>
        <w:t>其他社会保险缴费</w:t>
      </w:r>
      <w:r>
        <w:rPr>
          <w:rFonts w:hint="eastAsia" w:ascii="仿宋" w:hAnsi="仿宋" w:eastAsia="仿宋"/>
          <w:color w:val="000000" w:themeColor="text1"/>
          <w:sz w:val="32"/>
          <w:szCs w:val="32"/>
        </w:rPr>
        <w:t>（</w:t>
      </w:r>
      <w:r>
        <w:rPr>
          <w:rFonts w:ascii="仿宋" w:hAnsi="仿宋" w:eastAsia="仿宋"/>
          <w:color w:val="000000" w:themeColor="text1"/>
          <w:sz w:val="32"/>
          <w:szCs w:val="32"/>
        </w:rPr>
        <w:t>失业保险</w:t>
      </w:r>
      <w:r>
        <w:rPr>
          <w:rFonts w:hint="eastAsia" w:ascii="仿宋" w:hAnsi="仿宋" w:eastAsia="仿宋"/>
          <w:color w:val="000000" w:themeColor="text1"/>
          <w:sz w:val="32"/>
          <w:szCs w:val="32"/>
        </w:rPr>
        <w:t>、</w:t>
      </w:r>
      <w:r>
        <w:rPr>
          <w:rFonts w:ascii="仿宋" w:hAnsi="仿宋" w:eastAsia="仿宋"/>
          <w:color w:val="000000" w:themeColor="text1"/>
          <w:sz w:val="32"/>
          <w:szCs w:val="32"/>
        </w:rPr>
        <w:t>工伤保险）</w:t>
      </w:r>
      <w:r>
        <w:rPr>
          <w:rFonts w:hint="eastAsia" w:ascii="仿宋" w:hAnsi="仿宋" w:eastAsia="仿宋"/>
          <w:color w:val="000000" w:themeColor="text1"/>
          <w:sz w:val="32"/>
          <w:szCs w:val="32"/>
        </w:rPr>
        <w:t>、</w:t>
      </w:r>
      <w:r>
        <w:rPr>
          <w:rFonts w:ascii="仿宋" w:hAnsi="仿宋" w:eastAsia="仿宋"/>
          <w:color w:val="000000" w:themeColor="text1"/>
          <w:sz w:val="32"/>
          <w:szCs w:val="32"/>
        </w:rPr>
        <w:t>其他工资福利支出</w:t>
      </w:r>
      <w:r>
        <w:rPr>
          <w:rFonts w:hint="eastAsia" w:ascii="仿宋" w:hAnsi="仿宋" w:eastAsia="仿宋"/>
          <w:color w:val="000000" w:themeColor="text1"/>
          <w:sz w:val="32"/>
          <w:szCs w:val="32"/>
        </w:rPr>
        <w:t>（</w:t>
      </w:r>
      <w:r>
        <w:rPr>
          <w:rFonts w:ascii="仿宋" w:hAnsi="仿宋" w:eastAsia="仿宋"/>
          <w:color w:val="000000" w:themeColor="text1"/>
          <w:sz w:val="32"/>
          <w:szCs w:val="32"/>
        </w:rPr>
        <w:t>个人取暖费</w:t>
      </w:r>
      <w:r>
        <w:rPr>
          <w:rFonts w:hint="eastAsia" w:ascii="仿宋" w:hAnsi="仿宋" w:eastAsia="仿宋"/>
          <w:color w:val="000000" w:themeColor="text1"/>
          <w:sz w:val="32"/>
          <w:szCs w:val="32"/>
        </w:rPr>
        <w:t>、</w:t>
      </w:r>
      <w:r>
        <w:rPr>
          <w:rFonts w:ascii="仿宋" w:hAnsi="仿宋" w:eastAsia="仿宋"/>
          <w:color w:val="000000" w:themeColor="text1"/>
          <w:sz w:val="32"/>
          <w:szCs w:val="32"/>
        </w:rPr>
        <w:t>独生子女费</w:t>
      </w:r>
      <w:r>
        <w:rPr>
          <w:rFonts w:hint="eastAsia" w:ascii="仿宋" w:hAnsi="仿宋" w:eastAsia="仿宋"/>
          <w:color w:val="000000" w:themeColor="text1"/>
          <w:sz w:val="32"/>
          <w:szCs w:val="32"/>
        </w:rPr>
        <w:t>、</w:t>
      </w:r>
      <w:r>
        <w:rPr>
          <w:rFonts w:ascii="仿宋" w:hAnsi="仿宋" w:eastAsia="仿宋"/>
          <w:color w:val="000000" w:themeColor="text1"/>
          <w:sz w:val="32"/>
          <w:szCs w:val="32"/>
        </w:rPr>
        <w:t>煤油补贴</w:t>
      </w:r>
      <w:r>
        <w:rPr>
          <w:rFonts w:hint="eastAsia" w:ascii="仿宋" w:hAnsi="仿宋" w:eastAsia="仿宋"/>
          <w:color w:val="000000" w:themeColor="text1"/>
          <w:sz w:val="32"/>
          <w:szCs w:val="32"/>
        </w:rPr>
        <w:t>、</w:t>
      </w:r>
      <w:r>
        <w:rPr>
          <w:rFonts w:ascii="仿宋" w:hAnsi="仿宋" w:eastAsia="仿宋"/>
          <w:color w:val="000000" w:themeColor="text1"/>
          <w:sz w:val="32"/>
          <w:szCs w:val="32"/>
        </w:rPr>
        <w:t>休假探亲费</w:t>
      </w:r>
      <w:r>
        <w:rPr>
          <w:rFonts w:hint="eastAsia" w:ascii="仿宋" w:hAnsi="仿宋" w:eastAsia="仿宋"/>
          <w:color w:val="000000" w:themeColor="text1"/>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color w:val="000000" w:themeColor="text1"/>
          <w:sz w:val="32"/>
          <w:szCs w:val="32"/>
        </w:rPr>
        <w:t>21.89</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七、2022年度一般公共预算“三公”经费预算情况说明</w:t>
      </w:r>
    </w:p>
    <w:p>
      <w:pPr>
        <w:ind w:firstLine="640" w:firstLineChars="200"/>
        <w:rPr>
          <w:rFonts w:ascii="仿宋" w:hAnsi="仿宋" w:eastAsia="仿宋"/>
          <w:color w:val="000000" w:themeColor="text1"/>
          <w:sz w:val="32"/>
          <w:szCs w:val="32"/>
        </w:rPr>
      </w:pPr>
      <w:r>
        <w:rPr>
          <w:rFonts w:hint="eastAsia" w:ascii="仿宋" w:hAnsi="仿宋" w:eastAsia="仿宋"/>
          <w:sz w:val="32"/>
          <w:szCs w:val="32"/>
        </w:rPr>
        <w:t>2022年“三公”经费预算数为</w:t>
      </w:r>
      <w:r>
        <w:rPr>
          <w:rFonts w:hint="eastAsia" w:ascii="仿宋" w:hAnsi="仿宋" w:eastAsia="仿宋"/>
          <w:color w:val="000000" w:themeColor="text1"/>
          <w:sz w:val="32"/>
          <w:szCs w:val="32"/>
        </w:rPr>
        <w:t>6.73万元，其中：因公出国（境）费0万元，公务用车购置及运行费6.05万元，公务接待费0.68万元。2022年“三公”经费预算比2021年增加0.46万元，上升7.3%，主要原因是下乡等次数量多</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公务用车保有2量，国内公务接待0批次、0人。</w:t>
      </w:r>
    </w:p>
    <w:p>
      <w:pPr>
        <w:rPr>
          <w:rFonts w:ascii="黑体" w:hAnsi="黑体" w:eastAsia="黑体"/>
          <w:sz w:val="32"/>
          <w:szCs w:val="32"/>
        </w:rPr>
      </w:pPr>
      <w:r>
        <w:rPr>
          <w:rFonts w:hint="eastAsia" w:ascii="黑体" w:hAnsi="黑体" w:eastAsia="黑体"/>
          <w:sz w:val="32"/>
          <w:szCs w:val="32"/>
        </w:rPr>
        <w:t>八、2022年度政府性基金预算支出情况说明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我部门2022年度没有使用政府性基金安排的支出。</w:t>
      </w:r>
    </w:p>
    <w:tbl>
      <w:tblPr>
        <w:tblStyle w:val="6"/>
        <w:tblW w:w="17263" w:type="dxa"/>
        <w:tblInd w:w="98" w:type="dxa"/>
        <w:tblLayout w:type="autofit"/>
        <w:tblCellMar>
          <w:top w:w="0" w:type="dxa"/>
          <w:left w:w="108" w:type="dxa"/>
          <w:bottom w:w="0" w:type="dxa"/>
          <w:right w:w="108" w:type="dxa"/>
        </w:tblCellMar>
      </w:tblPr>
      <w:tblGrid>
        <w:gridCol w:w="5590"/>
        <w:gridCol w:w="1023"/>
        <w:gridCol w:w="2868"/>
        <w:gridCol w:w="3428"/>
        <w:gridCol w:w="886"/>
        <w:gridCol w:w="1734"/>
        <w:gridCol w:w="1734"/>
      </w:tblGrid>
      <w:tr>
        <w:tblPrEx>
          <w:tblCellMar>
            <w:top w:w="0" w:type="dxa"/>
            <w:left w:w="108" w:type="dxa"/>
            <w:bottom w:w="0" w:type="dxa"/>
            <w:right w:w="108" w:type="dxa"/>
          </w:tblCellMar>
        </w:tblPrEx>
        <w:trPr>
          <w:trHeight w:val="455" w:hRule="atLeast"/>
        </w:trPr>
        <w:tc>
          <w:tcPr>
            <w:tcW w:w="17263" w:type="dxa"/>
            <w:gridSpan w:val="7"/>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rPr>
                <w:rFonts w:ascii="宋体" w:hAnsi="宋体" w:cs="宋体"/>
                <w:b/>
                <w:bCs/>
                <w:kern w:val="0"/>
                <w:sz w:val="32"/>
                <w:szCs w:val="32"/>
              </w:rPr>
            </w:pPr>
            <w:r>
              <w:rPr>
                <w:rFonts w:ascii="宋体" w:hAnsi="宋体" w:cs="宋体"/>
                <w:b/>
                <w:bCs/>
                <w:kern w:val="0"/>
                <w:sz w:val="32"/>
                <w:szCs w:val="32"/>
              </w:rPr>
              <w:drawing>
                <wp:inline distT="0" distB="0" distL="0" distR="0">
                  <wp:extent cx="5302250" cy="10795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srcRect/>
                          <a:stretch>
                            <a:fillRect/>
                          </a:stretch>
                        </pic:blipFill>
                        <pic:spPr>
                          <a:xfrm>
                            <a:off x="0" y="0"/>
                            <a:ext cx="5319083" cy="1082927"/>
                          </a:xfrm>
                          <a:prstGeom prst="rect">
                            <a:avLst/>
                          </a:prstGeom>
                          <a:noFill/>
                        </pic:spPr>
                      </pic:pic>
                    </a:graphicData>
                  </a:graphic>
                </wp:inline>
              </w:drawing>
            </w:r>
          </w:p>
          <w:p>
            <w:pPr>
              <w:widowControl/>
              <w:rPr>
                <w:rFonts w:ascii="宋体" w:hAnsi="宋体" w:cs="宋体"/>
                <w:b/>
                <w:bCs/>
                <w:kern w:val="0"/>
                <w:sz w:val="20"/>
                <w:szCs w:val="32"/>
              </w:rPr>
            </w:pPr>
          </w:p>
        </w:tc>
      </w:tr>
      <w:tr>
        <w:tblPrEx>
          <w:tblCellMar>
            <w:top w:w="0" w:type="dxa"/>
            <w:left w:w="108" w:type="dxa"/>
            <w:bottom w:w="0" w:type="dxa"/>
            <w:right w:w="108" w:type="dxa"/>
          </w:tblCellMar>
        </w:tblPrEx>
        <w:trPr>
          <w:trHeight w:val="390" w:hRule="atLeast"/>
        </w:trPr>
        <w:tc>
          <w:tcPr>
            <w:tcW w:w="5590" w:type="dxa"/>
            <w:tcBorders>
              <w:top w:val="single" w:color="FFFFFF" w:sz="4" w:space="0"/>
              <w:left w:val="single" w:color="FFFFFF" w:sz="4" w:space="0"/>
              <w:bottom w:val="nil"/>
              <w:right w:val="single" w:color="FFFFFF" w:sz="4" w:space="0"/>
            </w:tcBorders>
            <w:shd w:val="clear" w:color="auto" w:fill="auto"/>
            <w:noWrap/>
            <w:vAlign w:val="center"/>
          </w:tcPr>
          <w:p>
            <w:pPr>
              <w:widowControl/>
              <w:jc w:val="left"/>
              <w:rPr>
                <w:rFonts w:ascii="宋体" w:hAnsi="宋体" w:cs="宋体"/>
                <w:kern w:val="0"/>
                <w:sz w:val="15"/>
                <w:szCs w:val="22"/>
              </w:rPr>
            </w:pPr>
          </w:p>
        </w:tc>
        <w:tc>
          <w:tcPr>
            <w:tcW w:w="1023" w:type="dxa"/>
            <w:tcBorders>
              <w:top w:val="nil"/>
              <w:left w:val="nil"/>
              <w:bottom w:val="nil"/>
              <w:right w:val="single" w:color="FFFFFF" w:sz="4" w:space="0"/>
            </w:tcBorders>
            <w:shd w:val="clear" w:color="auto" w:fill="auto"/>
            <w:noWrap/>
            <w:vAlign w:val="center"/>
          </w:tcPr>
          <w:p>
            <w:pPr>
              <w:widowControl/>
              <w:jc w:val="left"/>
              <w:rPr>
                <w:rFonts w:ascii="宋体" w:hAnsi="宋体" w:cs="宋体"/>
                <w:kern w:val="0"/>
                <w:sz w:val="10"/>
                <w:szCs w:val="18"/>
              </w:rPr>
            </w:pPr>
            <w:r>
              <w:rPr>
                <w:rFonts w:hint="eastAsia" w:ascii="宋体" w:hAnsi="宋体" w:cs="宋体"/>
                <w:kern w:val="0"/>
                <w:sz w:val="10"/>
                <w:szCs w:val="18"/>
              </w:rPr>
              <w:t>　</w:t>
            </w:r>
          </w:p>
        </w:tc>
        <w:tc>
          <w:tcPr>
            <w:tcW w:w="286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5"/>
                <w:szCs w:val="22"/>
              </w:rPr>
            </w:pPr>
          </w:p>
        </w:tc>
        <w:tc>
          <w:tcPr>
            <w:tcW w:w="3428" w:type="dxa"/>
            <w:tcBorders>
              <w:top w:val="nil"/>
              <w:left w:val="single" w:color="FFFFFF" w:sz="4" w:space="0"/>
              <w:bottom w:val="nil"/>
              <w:right w:val="single" w:color="FFFFFF" w:sz="4" w:space="0"/>
            </w:tcBorders>
            <w:shd w:val="clear" w:color="auto" w:fill="auto"/>
            <w:noWrap/>
            <w:vAlign w:val="center"/>
          </w:tcPr>
          <w:p>
            <w:pPr>
              <w:widowControl/>
              <w:jc w:val="left"/>
              <w:rPr>
                <w:rFonts w:ascii="宋体" w:hAnsi="宋体" w:cs="宋体"/>
                <w:kern w:val="0"/>
                <w:sz w:val="10"/>
                <w:szCs w:val="18"/>
              </w:rPr>
            </w:pPr>
            <w:r>
              <w:rPr>
                <w:rFonts w:hint="eastAsia" w:ascii="宋体" w:hAnsi="宋体" w:cs="宋体"/>
                <w:kern w:val="0"/>
                <w:sz w:val="10"/>
                <w:szCs w:val="18"/>
              </w:rPr>
              <w:t>　</w:t>
            </w:r>
          </w:p>
        </w:tc>
        <w:tc>
          <w:tcPr>
            <w:tcW w:w="88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5"/>
                <w:szCs w:val="22"/>
              </w:rPr>
            </w:pPr>
          </w:p>
        </w:tc>
        <w:tc>
          <w:tcPr>
            <w:tcW w:w="1734" w:type="dxa"/>
            <w:tcBorders>
              <w:top w:val="nil"/>
              <w:left w:val="single" w:color="FFFFFF" w:sz="4" w:space="0"/>
              <w:bottom w:val="nil"/>
              <w:right w:val="single" w:color="FFFFFF" w:sz="4" w:space="0"/>
            </w:tcBorders>
            <w:shd w:val="clear" w:color="auto" w:fill="auto"/>
            <w:noWrap/>
            <w:vAlign w:val="center"/>
          </w:tcPr>
          <w:p>
            <w:pPr>
              <w:widowControl/>
              <w:jc w:val="left"/>
              <w:rPr>
                <w:rFonts w:ascii="宋体" w:hAnsi="宋体" w:cs="宋体"/>
                <w:kern w:val="0"/>
                <w:sz w:val="10"/>
                <w:szCs w:val="18"/>
              </w:rPr>
            </w:pPr>
            <w:r>
              <w:rPr>
                <w:rFonts w:hint="eastAsia" w:ascii="宋体" w:hAnsi="宋体" w:cs="宋体"/>
                <w:kern w:val="0"/>
                <w:sz w:val="10"/>
                <w:szCs w:val="18"/>
              </w:rPr>
              <w:t>　</w:t>
            </w:r>
          </w:p>
        </w:tc>
        <w:tc>
          <w:tcPr>
            <w:tcW w:w="1734"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5"/>
                <w:szCs w:val="22"/>
              </w:rPr>
            </w:pPr>
          </w:p>
        </w:tc>
      </w:tr>
    </w:tbl>
    <w:p>
      <w:pPr>
        <w:rPr>
          <w:rFonts w:ascii="宋体" w:hAnsi="宋体" w:cs="宋体"/>
          <w:b/>
          <w:bCs/>
          <w:kern w:val="0"/>
          <w:sz w:val="15"/>
          <w:szCs w:val="22"/>
        </w:rPr>
      </w:pPr>
    </w:p>
    <w:p>
      <w:pPr>
        <w:ind w:firstLine="640" w:firstLineChars="200"/>
        <w:rPr>
          <w:rFonts w:ascii="仿宋_GB2312" w:hAnsi="黑体" w:eastAsia="仿宋_GB2312"/>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color w:val="000000" w:themeColor="text1"/>
          <w:sz w:val="32"/>
          <w:szCs w:val="32"/>
        </w:rPr>
      </w:pPr>
      <w:r>
        <w:rPr>
          <w:rFonts w:hint="eastAsia" w:ascii="仿宋" w:hAnsi="仿宋" w:eastAsia="仿宋"/>
          <w:sz w:val="32"/>
          <w:szCs w:val="32"/>
        </w:rPr>
        <w:t>朗县住房和城乡建设局2022年部门本级机关运行经费财政拨款预算</w:t>
      </w:r>
      <w:r>
        <w:rPr>
          <w:rFonts w:hint="eastAsia" w:ascii="仿宋_GB2312" w:eastAsia="仿宋_GB2312" w:cs="仿宋_GB2312" w:hAnsiTheme="minorHAnsi"/>
          <w:color w:val="000000" w:themeColor="text1"/>
          <w:kern w:val="0"/>
          <w:sz w:val="32"/>
          <w:szCs w:val="32"/>
        </w:rPr>
        <w:t>21.89</w:t>
      </w:r>
      <w:r>
        <w:rPr>
          <w:rFonts w:hint="eastAsia" w:ascii="仿宋" w:hAnsi="仿宋" w:eastAsia="仿宋"/>
          <w:color w:val="000000" w:themeColor="text1"/>
          <w:sz w:val="32"/>
          <w:szCs w:val="32"/>
        </w:rPr>
        <w:t>万元，比2021年预算增长</w:t>
      </w:r>
      <w:r>
        <w:rPr>
          <w:rFonts w:hint="eastAsia" w:ascii="仿宋_GB2312" w:eastAsia="仿宋_GB2312" w:cs="仿宋_GB2312" w:hAnsiTheme="minorHAnsi"/>
          <w:color w:val="000000" w:themeColor="text1"/>
          <w:kern w:val="0"/>
          <w:sz w:val="32"/>
          <w:szCs w:val="32"/>
        </w:rPr>
        <w:t>2.49</w:t>
      </w:r>
      <w:r>
        <w:rPr>
          <w:rFonts w:hint="eastAsia" w:ascii="仿宋" w:hAnsi="仿宋" w:eastAsia="仿宋"/>
          <w:color w:val="000000" w:themeColor="text1"/>
          <w:sz w:val="32"/>
          <w:szCs w:val="32"/>
        </w:rPr>
        <w:t>万元，增长</w:t>
      </w:r>
      <w:r>
        <w:rPr>
          <w:rFonts w:hint="eastAsia" w:ascii="仿宋_GB2312" w:eastAsia="仿宋_GB2312" w:cs="仿宋_GB2312" w:hAnsiTheme="minorHAnsi"/>
          <w:color w:val="000000" w:themeColor="text1"/>
          <w:kern w:val="0"/>
          <w:sz w:val="32"/>
          <w:szCs w:val="32"/>
        </w:rPr>
        <w:t>12.84</w:t>
      </w:r>
      <w:r>
        <w:rPr>
          <w:rFonts w:ascii="仿宋" w:hAnsi="仿宋" w:eastAsia="仿宋"/>
          <w:color w:val="000000" w:themeColor="text1"/>
          <w:sz w:val="32"/>
          <w:szCs w:val="32"/>
        </w:rPr>
        <w:t>%</w:t>
      </w:r>
      <w:r>
        <w:rPr>
          <w:rFonts w:hint="eastAsia" w:ascii="仿宋" w:hAnsi="仿宋" w:eastAsia="仿宋"/>
          <w:color w:val="000000" w:themeColor="text1"/>
          <w:sz w:val="32"/>
          <w:szCs w:val="32"/>
        </w:rPr>
        <w:t>。主要是</w:t>
      </w:r>
      <w:r>
        <w:rPr>
          <w:rFonts w:hint="eastAsia" w:ascii="仿宋_GB2312" w:eastAsia="仿宋_GB2312" w:cs="仿宋_GB2312" w:hAnsiTheme="minorHAnsi"/>
          <w:color w:val="000000" w:themeColor="text1"/>
          <w:kern w:val="0"/>
          <w:sz w:val="32"/>
          <w:szCs w:val="32"/>
        </w:rPr>
        <w:t>工会经费增加。</w:t>
      </w:r>
    </w:p>
    <w:p>
      <w:pPr>
        <w:autoSpaceDE w:val="0"/>
        <w:autoSpaceDN w:val="0"/>
        <w:adjustRightInd w:val="0"/>
        <w:rPr>
          <w:rFonts w:ascii="楷体" w:hAnsi="楷体" w:eastAsia="楷体"/>
          <w:color w:val="000000" w:themeColor="text1"/>
          <w:sz w:val="32"/>
          <w:szCs w:val="32"/>
        </w:rPr>
      </w:pPr>
      <w:r>
        <w:rPr>
          <w:rFonts w:hint="eastAsia" w:ascii="楷体" w:hAnsi="楷体" w:eastAsia="楷体"/>
          <w:color w:val="000000" w:themeColor="text1"/>
          <w:sz w:val="32"/>
          <w:szCs w:val="32"/>
        </w:rPr>
        <w:t>（二）政府采购情况说明。</w:t>
      </w:r>
    </w:p>
    <w:p>
      <w:pPr>
        <w:ind w:firstLine="640" w:firstLineChars="200"/>
        <w:rPr>
          <w:rFonts w:ascii="楷体" w:hAnsi="楷体" w:eastAsia="楷体"/>
          <w:color w:val="000000" w:themeColor="text1"/>
          <w:sz w:val="32"/>
          <w:szCs w:val="32"/>
        </w:rPr>
      </w:pPr>
      <w:r>
        <w:rPr>
          <w:rFonts w:hint="eastAsia" w:ascii="仿宋" w:hAnsi="仿宋" w:eastAsia="仿宋"/>
          <w:color w:val="000000" w:themeColor="text1"/>
          <w:sz w:val="32"/>
          <w:szCs w:val="32"/>
        </w:rPr>
        <w:t>朗县住房和城乡建设局2022年未安排政府采购业务。</w:t>
      </w:r>
    </w:p>
    <w:p>
      <w:pPr>
        <w:rPr>
          <w:rFonts w:ascii="楷体" w:hAnsi="楷体" w:eastAsia="楷体"/>
          <w:color w:val="000000" w:themeColor="text1"/>
          <w:sz w:val="32"/>
          <w:szCs w:val="32"/>
        </w:rPr>
      </w:pPr>
      <w:r>
        <w:rPr>
          <w:rFonts w:hint="eastAsia" w:ascii="楷体" w:hAnsi="楷体" w:eastAsia="楷体"/>
          <w:color w:val="000000" w:themeColor="text1"/>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color w:val="000000" w:themeColor="text1"/>
          <w:sz w:val="32"/>
          <w:szCs w:val="32"/>
        </w:rPr>
        <w:t>截至2021年</w:t>
      </w:r>
      <w:r>
        <w:rPr>
          <w:rFonts w:hint="eastAsia" w:ascii="仿宋_GB2312" w:eastAsia="仿宋_GB2312" w:cs="仿宋_GB2312" w:hAnsiTheme="minorHAnsi"/>
          <w:color w:val="000000" w:themeColor="text1"/>
          <w:kern w:val="0"/>
          <w:sz w:val="32"/>
          <w:szCs w:val="32"/>
        </w:rPr>
        <w:t>12</w:t>
      </w:r>
      <w:r>
        <w:rPr>
          <w:rFonts w:hint="eastAsia" w:ascii="仿宋" w:hAnsi="仿宋" w:eastAsia="仿宋"/>
          <w:color w:val="000000" w:themeColor="text1"/>
          <w:sz w:val="32"/>
          <w:szCs w:val="32"/>
        </w:rPr>
        <w:t>月底，本</w:t>
      </w:r>
      <w:r>
        <w:rPr>
          <w:rFonts w:ascii="仿宋" w:hAnsi="仿宋" w:eastAsia="仿宋"/>
          <w:color w:val="000000" w:themeColor="text1"/>
          <w:sz w:val="32"/>
          <w:szCs w:val="32"/>
        </w:rPr>
        <w:t>部门</w:t>
      </w:r>
      <w:r>
        <w:rPr>
          <w:rFonts w:hint="eastAsia" w:ascii="仿宋" w:hAnsi="仿宋" w:eastAsia="仿宋"/>
          <w:color w:val="000000" w:themeColor="text1"/>
          <w:sz w:val="32"/>
          <w:szCs w:val="32"/>
        </w:rPr>
        <w:t>及所属各预算单位共有车辆</w:t>
      </w:r>
      <w:r>
        <w:rPr>
          <w:rFonts w:hint="eastAsia" w:ascii="仿宋_GB2312" w:eastAsia="仿宋_GB2312" w:cs="仿宋_GB2312" w:hAnsiTheme="minorHAnsi"/>
          <w:color w:val="000000" w:themeColor="text1"/>
          <w:kern w:val="0"/>
          <w:sz w:val="32"/>
          <w:szCs w:val="32"/>
        </w:rPr>
        <w:t>12</w:t>
      </w:r>
      <w:r>
        <w:rPr>
          <w:rFonts w:hint="eastAsia" w:ascii="仿宋" w:hAnsi="仿宋" w:eastAsia="仿宋"/>
          <w:color w:val="000000" w:themeColor="text1"/>
          <w:sz w:val="32"/>
          <w:szCs w:val="32"/>
        </w:rPr>
        <w:t>辆，其中，执法执勤用车</w:t>
      </w:r>
      <w:r>
        <w:rPr>
          <w:rFonts w:hint="eastAsia" w:ascii="仿宋_GB2312" w:eastAsia="仿宋_GB2312" w:cs="仿宋_GB2312" w:hAnsiTheme="minorHAnsi"/>
          <w:color w:val="000000" w:themeColor="text1"/>
          <w:kern w:val="0"/>
          <w:sz w:val="32"/>
          <w:szCs w:val="32"/>
        </w:rPr>
        <w:t>1</w:t>
      </w:r>
      <w:r>
        <w:rPr>
          <w:rFonts w:hint="eastAsia" w:ascii="仿宋" w:hAnsi="仿宋" w:eastAsia="仿宋"/>
          <w:color w:val="000000" w:themeColor="text1"/>
          <w:sz w:val="32"/>
          <w:szCs w:val="32"/>
        </w:rPr>
        <w:t>辆、特种专业技</w:t>
      </w:r>
      <w:r>
        <w:rPr>
          <w:rFonts w:hint="eastAsia" w:ascii="仿宋" w:hAnsi="仿宋" w:eastAsia="仿宋"/>
          <w:sz w:val="32"/>
          <w:szCs w:val="32"/>
        </w:rPr>
        <w:t>术用车</w:t>
      </w:r>
      <w:r>
        <w:rPr>
          <w:rFonts w:hint="eastAsia" w:ascii="仿宋_GB2312" w:eastAsia="仿宋_GB2312" w:cs="仿宋_GB2312" w:hAnsiTheme="minorHAnsi"/>
          <w:kern w:val="0"/>
          <w:sz w:val="32"/>
          <w:szCs w:val="32"/>
        </w:rPr>
        <w:t>9</w:t>
      </w:r>
      <w:r>
        <w:rPr>
          <w:rFonts w:hint="eastAsia" w:ascii="仿宋" w:hAnsi="仿宋" w:eastAsia="仿宋"/>
          <w:sz w:val="32"/>
          <w:szCs w:val="32"/>
        </w:rPr>
        <w:t>辆、业务用车</w:t>
      </w:r>
      <w:r>
        <w:rPr>
          <w:rFonts w:hint="eastAsia" w:ascii="仿宋_GB2312" w:eastAsia="仿宋_GB2312" w:cs="仿宋_GB2312" w:hAnsiTheme="minorHAnsi"/>
          <w:kern w:val="0"/>
          <w:sz w:val="32"/>
          <w:szCs w:val="32"/>
        </w:rPr>
        <w:t>2</w:t>
      </w:r>
      <w:r>
        <w:rPr>
          <w:rFonts w:hint="eastAsia" w:ascii="仿宋" w:hAnsi="仿宋" w:eastAsia="仿宋"/>
          <w:sz w:val="32"/>
          <w:szCs w:val="32"/>
        </w:rPr>
        <w:t>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rPr>
        <w:t>0</w:t>
      </w:r>
      <w:r>
        <w:rPr>
          <w:rFonts w:hint="eastAsia" w:ascii="仿宋" w:hAnsi="仿宋" w:eastAsia="仿宋"/>
          <w:sz w:val="32"/>
          <w:szCs w:val="32"/>
        </w:rPr>
        <w:t>台，单位价值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rPr>
        <w:t>0</w:t>
      </w:r>
      <w:r>
        <w:rPr>
          <w:rFonts w:hint="eastAsia" w:ascii="仿宋" w:hAnsi="仿宋" w:eastAsia="仿宋"/>
          <w:sz w:val="32"/>
          <w:szCs w:val="32"/>
        </w:rPr>
        <w:t>台（套）。</w:t>
      </w:r>
    </w:p>
    <w:p>
      <w:pPr>
        <w:spacing w:line="588" w:lineRule="exact"/>
        <w:rPr>
          <w:rFonts w:ascii="仿宋" w:hAnsi="仿宋" w:eastAsia="仿宋"/>
          <w:b/>
          <w:sz w:val="32"/>
          <w:szCs w:val="32"/>
        </w:rPr>
      </w:pPr>
      <w:r>
        <w:rPr>
          <w:rFonts w:hint="eastAsia" w:ascii="楷体" w:hAnsi="楷体" w:eastAsia="楷体"/>
          <w:sz w:val="32"/>
          <w:szCs w:val="32"/>
        </w:rPr>
        <w:t>（四）2022年预算绩效目标管理情况。</w:t>
      </w:r>
    </w:p>
    <w:p>
      <w:pPr>
        <w:spacing w:line="588" w:lineRule="exact"/>
        <w:ind w:firstLine="640" w:firstLineChars="200"/>
        <w:rPr>
          <w:rFonts w:ascii="仿宋" w:hAnsi="仿宋" w:eastAsia="仿宋"/>
          <w:color w:val="000000" w:themeColor="text1"/>
          <w:sz w:val="32"/>
          <w:szCs w:val="32"/>
        </w:rPr>
      </w:pPr>
      <w:r>
        <w:rPr>
          <w:rFonts w:hint="eastAsia" w:ascii="仿宋" w:hAnsi="仿宋" w:eastAsia="仿宋"/>
          <w:sz w:val="32"/>
          <w:szCs w:val="32"/>
        </w:rPr>
        <w:t>2022年实现财政支出绩效目标管理全覆盖，实行绩效目标管理</w:t>
      </w:r>
      <w:r>
        <w:rPr>
          <w:rFonts w:hint="eastAsia" w:ascii="仿宋_GB2312" w:eastAsia="仿宋_GB2312" w:cs="仿宋_GB2312" w:hAnsiTheme="minorHAnsi"/>
          <w:kern w:val="0"/>
          <w:sz w:val="32"/>
          <w:szCs w:val="32"/>
        </w:rPr>
        <w:t>13</w:t>
      </w:r>
      <w:r>
        <w:rPr>
          <w:rFonts w:hint="eastAsia" w:ascii="仿宋" w:hAnsi="仿宋" w:eastAsia="仿宋"/>
          <w:sz w:val="32"/>
          <w:szCs w:val="32"/>
        </w:rPr>
        <w:t>个，资金</w:t>
      </w:r>
      <w:r>
        <w:rPr>
          <w:rFonts w:hint="eastAsia" w:ascii="仿宋_GB2312" w:eastAsia="仿宋_GB2312" w:cs="仿宋_GB2312" w:hAnsiTheme="minorHAnsi"/>
          <w:kern w:val="0"/>
          <w:sz w:val="32"/>
          <w:szCs w:val="32"/>
        </w:rPr>
        <w:t>582.26</w:t>
      </w:r>
      <w:r>
        <w:rPr>
          <w:rFonts w:hint="eastAsia" w:ascii="仿宋" w:hAnsi="仿宋" w:eastAsia="仿宋"/>
          <w:sz w:val="32"/>
          <w:szCs w:val="32"/>
        </w:rPr>
        <w:t>万元，其中：中央转移支付农村危房改造）资金为60万元，住房保障支出资金2.31万元，工资性支出264.72万元，其他社会保险缴费0.32万元，其他 工资福利支出，129.79万元，机关事业单位养老保险缴费支出36.30万元，城镇职工基本医疗保险缴费19.74万元，公务员医疗补助支出4.19万元 ，住房公积金支出29.10万元，商品和服务支出16.6万元,工会经费支出5.29万元，人防工作经费支出5.90万元，造林绿化支出8万元，</w:t>
      </w:r>
      <w:r>
        <w:rPr>
          <w:rFonts w:hint="eastAsia" w:ascii="仿宋" w:hAnsi="仿宋" w:eastAsia="仿宋"/>
          <w:color w:val="000000" w:themeColor="text1"/>
          <w:sz w:val="32"/>
          <w:szCs w:val="32"/>
        </w:rPr>
        <w:t>占年初项目支出预算总额的 70.79%。详细见附表。</w:t>
      </w:r>
    </w:p>
    <w:p>
      <w:pPr>
        <w:numPr>
          <w:ilvl w:val="0"/>
          <w:numId w:val="2"/>
        </w:numPr>
        <w:rPr>
          <w:rFonts w:ascii="楷体" w:hAnsi="楷体" w:eastAsia="楷体"/>
          <w:sz w:val="32"/>
          <w:szCs w:val="32"/>
        </w:rPr>
      </w:pPr>
      <w:r>
        <w:rPr>
          <w:rFonts w:hint="eastAsia" w:ascii="楷体" w:hAnsi="楷体" w:eastAsia="楷体"/>
          <w:sz w:val="32"/>
          <w:szCs w:val="32"/>
        </w:rPr>
        <w:t>扶贫资金管理使用情况及绩效目标情况说明。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2022年朗县住建局无扶贫资金项目。</w:t>
      </w:r>
    </w:p>
    <w:p>
      <w:pPr>
        <w:numPr>
          <w:ilvl w:val="0"/>
          <w:numId w:val="2"/>
        </w:numPr>
        <w:jc w:val="left"/>
        <w:rPr>
          <w:rFonts w:ascii="楷体" w:hAnsi="楷体" w:eastAsia="楷体"/>
          <w:sz w:val="32"/>
          <w:szCs w:val="32"/>
        </w:rPr>
      </w:pPr>
      <w:r>
        <w:rPr>
          <w:rFonts w:hint="eastAsia" w:ascii="楷体" w:hAnsi="楷体" w:eastAsia="楷体"/>
          <w:sz w:val="32"/>
          <w:szCs w:val="32"/>
        </w:rPr>
        <w:t>政府债务情况。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2022年朗县住房和城乡建设局无政府债务。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10</w:t>
    </w:r>
    <w:r>
      <w:rPr>
        <w:rStyle w:val="8"/>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215145"/>
    <w:multiLevelType w:val="singleLevel"/>
    <w:tmpl w:val="FF215145"/>
    <w:lvl w:ilvl="0" w:tentative="0">
      <w:start w:val="1"/>
      <w:numFmt w:val="decimal"/>
      <w:lvlText w:val="%1."/>
      <w:lvlJc w:val="left"/>
      <w:pPr>
        <w:tabs>
          <w:tab w:val="left" w:pos="312"/>
        </w:tabs>
      </w:pPr>
    </w:lvl>
  </w:abstractNum>
  <w:abstractNum w:abstractNumId="1">
    <w:nsid w:val="42C1421D"/>
    <w:multiLevelType w:val="singleLevel"/>
    <w:tmpl w:val="42C1421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04FE0"/>
    <w:rsid w:val="00015A4C"/>
    <w:rsid w:val="0002333B"/>
    <w:rsid w:val="00033CA2"/>
    <w:rsid w:val="00041C59"/>
    <w:rsid w:val="00043AA8"/>
    <w:rsid w:val="000545B9"/>
    <w:rsid w:val="00065B19"/>
    <w:rsid w:val="00086B54"/>
    <w:rsid w:val="00096F91"/>
    <w:rsid w:val="000A1AFA"/>
    <w:rsid w:val="000A6427"/>
    <w:rsid w:val="000F293F"/>
    <w:rsid w:val="00105104"/>
    <w:rsid w:val="00112C21"/>
    <w:rsid w:val="001162B6"/>
    <w:rsid w:val="00137481"/>
    <w:rsid w:val="00142F19"/>
    <w:rsid w:val="00151C9B"/>
    <w:rsid w:val="00160D39"/>
    <w:rsid w:val="00174215"/>
    <w:rsid w:val="001A290C"/>
    <w:rsid w:val="001A47B8"/>
    <w:rsid w:val="001A6CD9"/>
    <w:rsid w:val="001B4F21"/>
    <w:rsid w:val="001B7ECE"/>
    <w:rsid w:val="001E25E8"/>
    <w:rsid w:val="001E413D"/>
    <w:rsid w:val="001F5E8D"/>
    <w:rsid w:val="00211391"/>
    <w:rsid w:val="00213708"/>
    <w:rsid w:val="00230405"/>
    <w:rsid w:val="00247AA5"/>
    <w:rsid w:val="00255CD4"/>
    <w:rsid w:val="00266E39"/>
    <w:rsid w:val="00285201"/>
    <w:rsid w:val="00287AD6"/>
    <w:rsid w:val="00291A33"/>
    <w:rsid w:val="002B4B50"/>
    <w:rsid w:val="002E550F"/>
    <w:rsid w:val="0031342C"/>
    <w:rsid w:val="003139C9"/>
    <w:rsid w:val="00322979"/>
    <w:rsid w:val="00323C72"/>
    <w:rsid w:val="0034191D"/>
    <w:rsid w:val="00343F94"/>
    <w:rsid w:val="00344E9B"/>
    <w:rsid w:val="00360466"/>
    <w:rsid w:val="003646E6"/>
    <w:rsid w:val="00371B62"/>
    <w:rsid w:val="00371BC9"/>
    <w:rsid w:val="003833F8"/>
    <w:rsid w:val="003A4455"/>
    <w:rsid w:val="003A4970"/>
    <w:rsid w:val="003B11A4"/>
    <w:rsid w:val="003B6F2D"/>
    <w:rsid w:val="003C07B1"/>
    <w:rsid w:val="003E21A4"/>
    <w:rsid w:val="003E2D5B"/>
    <w:rsid w:val="0042253D"/>
    <w:rsid w:val="004573CF"/>
    <w:rsid w:val="004773FB"/>
    <w:rsid w:val="00480381"/>
    <w:rsid w:val="00490C1D"/>
    <w:rsid w:val="004970A2"/>
    <w:rsid w:val="004A0D4C"/>
    <w:rsid w:val="004B70D0"/>
    <w:rsid w:val="004C433B"/>
    <w:rsid w:val="004C45A4"/>
    <w:rsid w:val="004D363A"/>
    <w:rsid w:val="004D3E8B"/>
    <w:rsid w:val="004E2206"/>
    <w:rsid w:val="004F0973"/>
    <w:rsid w:val="00510F60"/>
    <w:rsid w:val="00512DED"/>
    <w:rsid w:val="005166C5"/>
    <w:rsid w:val="005227B8"/>
    <w:rsid w:val="00526509"/>
    <w:rsid w:val="00542D4C"/>
    <w:rsid w:val="005472B4"/>
    <w:rsid w:val="00552117"/>
    <w:rsid w:val="005526AE"/>
    <w:rsid w:val="00556119"/>
    <w:rsid w:val="0056413E"/>
    <w:rsid w:val="00570F81"/>
    <w:rsid w:val="00571742"/>
    <w:rsid w:val="00576C78"/>
    <w:rsid w:val="00577343"/>
    <w:rsid w:val="00587E83"/>
    <w:rsid w:val="00593341"/>
    <w:rsid w:val="00593FBB"/>
    <w:rsid w:val="0059715A"/>
    <w:rsid w:val="005A312C"/>
    <w:rsid w:val="005A489F"/>
    <w:rsid w:val="005B264E"/>
    <w:rsid w:val="005B7595"/>
    <w:rsid w:val="005C3BC8"/>
    <w:rsid w:val="005D3089"/>
    <w:rsid w:val="005D32AA"/>
    <w:rsid w:val="005D584E"/>
    <w:rsid w:val="005E5236"/>
    <w:rsid w:val="005F2417"/>
    <w:rsid w:val="005F2DA3"/>
    <w:rsid w:val="00605281"/>
    <w:rsid w:val="00611AA9"/>
    <w:rsid w:val="00616BC5"/>
    <w:rsid w:val="00632F9C"/>
    <w:rsid w:val="00640514"/>
    <w:rsid w:val="00641243"/>
    <w:rsid w:val="00643004"/>
    <w:rsid w:val="00644517"/>
    <w:rsid w:val="00647E6A"/>
    <w:rsid w:val="00653B9E"/>
    <w:rsid w:val="0066468E"/>
    <w:rsid w:val="0067255B"/>
    <w:rsid w:val="006A497D"/>
    <w:rsid w:val="006B41A1"/>
    <w:rsid w:val="006C4305"/>
    <w:rsid w:val="006D5592"/>
    <w:rsid w:val="00737A27"/>
    <w:rsid w:val="00744736"/>
    <w:rsid w:val="007470CA"/>
    <w:rsid w:val="007529D0"/>
    <w:rsid w:val="00753C16"/>
    <w:rsid w:val="00755DEB"/>
    <w:rsid w:val="007A00E8"/>
    <w:rsid w:val="007A6ED2"/>
    <w:rsid w:val="007A7AB7"/>
    <w:rsid w:val="007C5A03"/>
    <w:rsid w:val="007D36FE"/>
    <w:rsid w:val="007D43D3"/>
    <w:rsid w:val="007D69D4"/>
    <w:rsid w:val="007E5072"/>
    <w:rsid w:val="008001B3"/>
    <w:rsid w:val="0080401E"/>
    <w:rsid w:val="00811AE2"/>
    <w:rsid w:val="00813A99"/>
    <w:rsid w:val="008314A5"/>
    <w:rsid w:val="00835E1D"/>
    <w:rsid w:val="008468ED"/>
    <w:rsid w:val="0085478E"/>
    <w:rsid w:val="00854F28"/>
    <w:rsid w:val="0086465E"/>
    <w:rsid w:val="00865965"/>
    <w:rsid w:val="00871235"/>
    <w:rsid w:val="00873E6B"/>
    <w:rsid w:val="008747DA"/>
    <w:rsid w:val="00875CA7"/>
    <w:rsid w:val="008770A2"/>
    <w:rsid w:val="008811A8"/>
    <w:rsid w:val="00885072"/>
    <w:rsid w:val="00890723"/>
    <w:rsid w:val="008955BB"/>
    <w:rsid w:val="0089630C"/>
    <w:rsid w:val="008A6719"/>
    <w:rsid w:val="008C1F95"/>
    <w:rsid w:val="008C2C8B"/>
    <w:rsid w:val="008C6378"/>
    <w:rsid w:val="008D39A8"/>
    <w:rsid w:val="008E490F"/>
    <w:rsid w:val="008E4D31"/>
    <w:rsid w:val="008E68AD"/>
    <w:rsid w:val="008F37FF"/>
    <w:rsid w:val="008F5CAA"/>
    <w:rsid w:val="00927E47"/>
    <w:rsid w:val="0095324A"/>
    <w:rsid w:val="00953C23"/>
    <w:rsid w:val="0096127B"/>
    <w:rsid w:val="00963F5F"/>
    <w:rsid w:val="0097582E"/>
    <w:rsid w:val="00993FFC"/>
    <w:rsid w:val="009A2D76"/>
    <w:rsid w:val="009B105B"/>
    <w:rsid w:val="009B2113"/>
    <w:rsid w:val="009C51DB"/>
    <w:rsid w:val="009D0EC6"/>
    <w:rsid w:val="009D330A"/>
    <w:rsid w:val="009D483C"/>
    <w:rsid w:val="009D58A7"/>
    <w:rsid w:val="009F3FB3"/>
    <w:rsid w:val="00A04FAE"/>
    <w:rsid w:val="00A05F69"/>
    <w:rsid w:val="00A2339E"/>
    <w:rsid w:val="00A239B3"/>
    <w:rsid w:val="00A25A3A"/>
    <w:rsid w:val="00A25D6E"/>
    <w:rsid w:val="00A262A5"/>
    <w:rsid w:val="00A3432E"/>
    <w:rsid w:val="00A42EB8"/>
    <w:rsid w:val="00A53E77"/>
    <w:rsid w:val="00A615F1"/>
    <w:rsid w:val="00A81865"/>
    <w:rsid w:val="00A825B5"/>
    <w:rsid w:val="00A83879"/>
    <w:rsid w:val="00A93D98"/>
    <w:rsid w:val="00AC12FD"/>
    <w:rsid w:val="00AC1350"/>
    <w:rsid w:val="00AE6EB6"/>
    <w:rsid w:val="00AE7238"/>
    <w:rsid w:val="00B007C8"/>
    <w:rsid w:val="00B60721"/>
    <w:rsid w:val="00B6522F"/>
    <w:rsid w:val="00B67A9E"/>
    <w:rsid w:val="00B71842"/>
    <w:rsid w:val="00B74CCE"/>
    <w:rsid w:val="00B84681"/>
    <w:rsid w:val="00B923FF"/>
    <w:rsid w:val="00B92C71"/>
    <w:rsid w:val="00B96D8F"/>
    <w:rsid w:val="00BC5024"/>
    <w:rsid w:val="00BC5647"/>
    <w:rsid w:val="00BD2BDC"/>
    <w:rsid w:val="00BD41FF"/>
    <w:rsid w:val="00BD58F0"/>
    <w:rsid w:val="00BE6B5B"/>
    <w:rsid w:val="00BE6DF3"/>
    <w:rsid w:val="00C16A9A"/>
    <w:rsid w:val="00C2239E"/>
    <w:rsid w:val="00C27C63"/>
    <w:rsid w:val="00C347FD"/>
    <w:rsid w:val="00C51E09"/>
    <w:rsid w:val="00C63BEE"/>
    <w:rsid w:val="00C76A23"/>
    <w:rsid w:val="00C77CA6"/>
    <w:rsid w:val="00CD29AE"/>
    <w:rsid w:val="00CE472E"/>
    <w:rsid w:val="00CE5ED2"/>
    <w:rsid w:val="00CE7C4E"/>
    <w:rsid w:val="00CF4F30"/>
    <w:rsid w:val="00D22EF7"/>
    <w:rsid w:val="00D25868"/>
    <w:rsid w:val="00D632F1"/>
    <w:rsid w:val="00D64829"/>
    <w:rsid w:val="00D85603"/>
    <w:rsid w:val="00D8669F"/>
    <w:rsid w:val="00D94491"/>
    <w:rsid w:val="00DB0231"/>
    <w:rsid w:val="00DC0879"/>
    <w:rsid w:val="00DC241A"/>
    <w:rsid w:val="00DC259A"/>
    <w:rsid w:val="00DE5119"/>
    <w:rsid w:val="00E03AF9"/>
    <w:rsid w:val="00E051A8"/>
    <w:rsid w:val="00E10221"/>
    <w:rsid w:val="00E104B4"/>
    <w:rsid w:val="00E115D0"/>
    <w:rsid w:val="00E233E9"/>
    <w:rsid w:val="00E32EC0"/>
    <w:rsid w:val="00E4103C"/>
    <w:rsid w:val="00E42C47"/>
    <w:rsid w:val="00E6642D"/>
    <w:rsid w:val="00E745C7"/>
    <w:rsid w:val="00E82B77"/>
    <w:rsid w:val="00E904F2"/>
    <w:rsid w:val="00EB1487"/>
    <w:rsid w:val="00EB5EFC"/>
    <w:rsid w:val="00EB7129"/>
    <w:rsid w:val="00EC3348"/>
    <w:rsid w:val="00EE0A42"/>
    <w:rsid w:val="00F00FDB"/>
    <w:rsid w:val="00F06045"/>
    <w:rsid w:val="00F07089"/>
    <w:rsid w:val="00F20563"/>
    <w:rsid w:val="00F21E99"/>
    <w:rsid w:val="00F2539A"/>
    <w:rsid w:val="00F34305"/>
    <w:rsid w:val="00F37969"/>
    <w:rsid w:val="00F4454F"/>
    <w:rsid w:val="00F50409"/>
    <w:rsid w:val="00F55588"/>
    <w:rsid w:val="00F72BAB"/>
    <w:rsid w:val="00F96845"/>
    <w:rsid w:val="00FA0C66"/>
    <w:rsid w:val="00FA18CE"/>
    <w:rsid w:val="01163DB0"/>
    <w:rsid w:val="03EA6B7C"/>
    <w:rsid w:val="04050203"/>
    <w:rsid w:val="049525BD"/>
    <w:rsid w:val="04C545C4"/>
    <w:rsid w:val="063339FE"/>
    <w:rsid w:val="0778034C"/>
    <w:rsid w:val="08703C24"/>
    <w:rsid w:val="09320523"/>
    <w:rsid w:val="09BD29FE"/>
    <w:rsid w:val="0A3C06A8"/>
    <w:rsid w:val="0A5F5B47"/>
    <w:rsid w:val="0AAC6BE4"/>
    <w:rsid w:val="0AB80DB3"/>
    <w:rsid w:val="0C9D6E05"/>
    <w:rsid w:val="0D26686B"/>
    <w:rsid w:val="0F212DBC"/>
    <w:rsid w:val="104452B4"/>
    <w:rsid w:val="10534EB0"/>
    <w:rsid w:val="10C87E85"/>
    <w:rsid w:val="12796FC6"/>
    <w:rsid w:val="12BE2D18"/>
    <w:rsid w:val="15761F97"/>
    <w:rsid w:val="1619463F"/>
    <w:rsid w:val="16555B06"/>
    <w:rsid w:val="16C36C41"/>
    <w:rsid w:val="18F67382"/>
    <w:rsid w:val="1940793F"/>
    <w:rsid w:val="1A3B730B"/>
    <w:rsid w:val="1DA65E93"/>
    <w:rsid w:val="1E9A0198"/>
    <w:rsid w:val="1FA95140"/>
    <w:rsid w:val="20340A84"/>
    <w:rsid w:val="2076573D"/>
    <w:rsid w:val="214E5B76"/>
    <w:rsid w:val="225278E7"/>
    <w:rsid w:val="22A41AA3"/>
    <w:rsid w:val="25545725"/>
    <w:rsid w:val="262C5F10"/>
    <w:rsid w:val="263A2B6C"/>
    <w:rsid w:val="267267AA"/>
    <w:rsid w:val="27857D9A"/>
    <w:rsid w:val="28454997"/>
    <w:rsid w:val="2A242FA3"/>
    <w:rsid w:val="2AF250E3"/>
    <w:rsid w:val="2D1757D9"/>
    <w:rsid w:val="2D4D735D"/>
    <w:rsid w:val="2D915768"/>
    <w:rsid w:val="2ED02CED"/>
    <w:rsid w:val="2F427AA3"/>
    <w:rsid w:val="2F734237"/>
    <w:rsid w:val="2FD63906"/>
    <w:rsid w:val="2FE14059"/>
    <w:rsid w:val="30E77FA0"/>
    <w:rsid w:val="328509C7"/>
    <w:rsid w:val="33A53D1B"/>
    <w:rsid w:val="33A74E22"/>
    <w:rsid w:val="340B4EB7"/>
    <w:rsid w:val="34470269"/>
    <w:rsid w:val="35101668"/>
    <w:rsid w:val="35394531"/>
    <w:rsid w:val="35E93C67"/>
    <w:rsid w:val="36A04CE1"/>
    <w:rsid w:val="36D05553"/>
    <w:rsid w:val="377C554E"/>
    <w:rsid w:val="38107E4C"/>
    <w:rsid w:val="387719FE"/>
    <w:rsid w:val="393D67A4"/>
    <w:rsid w:val="396C2C6C"/>
    <w:rsid w:val="3B0555B2"/>
    <w:rsid w:val="3B5A25B3"/>
    <w:rsid w:val="3D1E7541"/>
    <w:rsid w:val="3D2432E3"/>
    <w:rsid w:val="3DBF3C2B"/>
    <w:rsid w:val="3DD162BD"/>
    <w:rsid w:val="3DD75419"/>
    <w:rsid w:val="3EB05C6A"/>
    <w:rsid w:val="3EDE4D42"/>
    <w:rsid w:val="3FF919A5"/>
    <w:rsid w:val="416D0224"/>
    <w:rsid w:val="41C51A2C"/>
    <w:rsid w:val="41F713FF"/>
    <w:rsid w:val="423B4CDB"/>
    <w:rsid w:val="429854F6"/>
    <w:rsid w:val="46946ADE"/>
    <w:rsid w:val="47011722"/>
    <w:rsid w:val="486A71B7"/>
    <w:rsid w:val="48AE6D76"/>
    <w:rsid w:val="4901652B"/>
    <w:rsid w:val="4937342B"/>
    <w:rsid w:val="495014FB"/>
    <w:rsid w:val="4994533B"/>
    <w:rsid w:val="49CB01C8"/>
    <w:rsid w:val="4A252F4C"/>
    <w:rsid w:val="4B7A351B"/>
    <w:rsid w:val="4BE9693D"/>
    <w:rsid w:val="4C9B3AB5"/>
    <w:rsid w:val="4E0A5EE0"/>
    <w:rsid w:val="4F891609"/>
    <w:rsid w:val="50645A66"/>
    <w:rsid w:val="51DA1D4A"/>
    <w:rsid w:val="524D2569"/>
    <w:rsid w:val="52622405"/>
    <w:rsid w:val="528F2982"/>
    <w:rsid w:val="52D76D54"/>
    <w:rsid w:val="52EE1D37"/>
    <w:rsid w:val="53AC74EE"/>
    <w:rsid w:val="5408525F"/>
    <w:rsid w:val="55F60862"/>
    <w:rsid w:val="563247AC"/>
    <w:rsid w:val="564325D1"/>
    <w:rsid w:val="56A04E6A"/>
    <w:rsid w:val="574C6DE8"/>
    <w:rsid w:val="5805272B"/>
    <w:rsid w:val="58237E94"/>
    <w:rsid w:val="58874F5E"/>
    <w:rsid w:val="59582F14"/>
    <w:rsid w:val="59CC673F"/>
    <w:rsid w:val="5A312D07"/>
    <w:rsid w:val="5A3966BC"/>
    <w:rsid w:val="5A891B97"/>
    <w:rsid w:val="5B6D0E0B"/>
    <w:rsid w:val="5D1A7153"/>
    <w:rsid w:val="5DDF38CF"/>
    <w:rsid w:val="5ED03A93"/>
    <w:rsid w:val="5ED13367"/>
    <w:rsid w:val="5F33563E"/>
    <w:rsid w:val="5FC41DE6"/>
    <w:rsid w:val="60CD0C3E"/>
    <w:rsid w:val="60F65306"/>
    <w:rsid w:val="61E25CE3"/>
    <w:rsid w:val="626B4F66"/>
    <w:rsid w:val="629634FA"/>
    <w:rsid w:val="63FA0368"/>
    <w:rsid w:val="64810287"/>
    <w:rsid w:val="64D84E54"/>
    <w:rsid w:val="65DB401C"/>
    <w:rsid w:val="661F0E5C"/>
    <w:rsid w:val="665E1D53"/>
    <w:rsid w:val="66E41101"/>
    <w:rsid w:val="674950DA"/>
    <w:rsid w:val="67FE6501"/>
    <w:rsid w:val="685A0A08"/>
    <w:rsid w:val="69EA0EA9"/>
    <w:rsid w:val="6A954DD2"/>
    <w:rsid w:val="6BF95951"/>
    <w:rsid w:val="6EC12F36"/>
    <w:rsid w:val="6EEB2FDC"/>
    <w:rsid w:val="6F060C38"/>
    <w:rsid w:val="71605F93"/>
    <w:rsid w:val="717F34E2"/>
    <w:rsid w:val="71BE59CD"/>
    <w:rsid w:val="71F94C56"/>
    <w:rsid w:val="725F74BD"/>
    <w:rsid w:val="73D41C43"/>
    <w:rsid w:val="76F43E80"/>
    <w:rsid w:val="782A7918"/>
    <w:rsid w:val="78D44B65"/>
    <w:rsid w:val="7AC732DE"/>
    <w:rsid w:val="7B332F87"/>
    <w:rsid w:val="7B3A4316"/>
    <w:rsid w:val="7C5238E1"/>
    <w:rsid w:val="7C60690B"/>
    <w:rsid w:val="7D254B52"/>
    <w:rsid w:val="7DFD5ACF"/>
    <w:rsid w:val="7F4D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qFormat/>
    <w:uiPriority w:val="0"/>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857</Words>
  <Characters>4886</Characters>
  <Lines>40</Lines>
  <Paragraphs>11</Paragraphs>
  <TotalTime>334</TotalTime>
  <ScaleCrop>false</ScaleCrop>
  <LinksUpToDate>false</LinksUpToDate>
  <CharactersWithSpaces>5732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2022-02-17T03:12:00Z</cp:lastPrinted>
  <dcterms:modified xsi:type="dcterms:W3CDTF">2022-02-17T10:10:00Z</dcterms:modified>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D0CFE2FD0AB1473AB9289A57189B44C6</vt:lpwstr>
  </property>
</Properties>
</file>