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朗县仲达镇人民政府2022年度部门预算</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2720" w:firstLineChars="850"/>
        <w:rPr>
          <w:rFonts w:hint="eastAsia" w:ascii="仿宋" w:hAnsi="仿宋" w:eastAsia="仿宋"/>
          <w:sz w:val="32"/>
          <w:szCs w:val="32"/>
        </w:rPr>
      </w:pPr>
      <w:r>
        <w:rPr>
          <w:rFonts w:hint="eastAsia" w:ascii="仿宋" w:hAnsi="仿宋" w:eastAsia="仿宋"/>
          <w:sz w:val="32"/>
          <w:szCs w:val="32"/>
        </w:rPr>
        <w:t>2022 年 2 月 16 日</w:t>
      </w:r>
    </w:p>
    <w:p>
      <w:pPr>
        <w:ind w:firstLine="880" w:firstLineChars="200"/>
        <w:jc w:val="center"/>
        <w:rPr>
          <w:rFonts w:ascii="仿宋" w:hAnsi="仿宋" w:eastAsia="仿宋"/>
          <w:sz w:val="32"/>
          <w:szCs w:val="32"/>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朗县仲达镇人民政府概况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朗县仲达镇人民政府2022年度部门预算明细表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朗县仲达镇人民政府2022年度部门预算数据分析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ind w:firstLine="640" w:firstLineChars="200"/>
        <w:jc w:val="center"/>
        <w:rPr>
          <w:rFonts w:ascii="方正小标宋简体" w:hAnsi="仿宋" w:eastAsia="方正小标宋简体"/>
          <w:sz w:val="32"/>
          <w:szCs w:val="32"/>
        </w:rPr>
      </w:pPr>
    </w:p>
    <w:p>
      <w:pPr>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朗县仲达镇人民政府概况</w:t>
      </w:r>
    </w:p>
    <w:p>
      <w:pPr>
        <w:ind w:firstLine="640" w:firstLineChars="200"/>
        <w:rPr>
          <w:rFonts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1.执行上级国家行政机关的决定、命令和国家制定的法令、法规，接受同级党委的领导，执行本级人民代表大会的各项决议，并报告执行决议、决定和命令的情况。</w:t>
      </w:r>
    </w:p>
    <w:p>
      <w:pPr>
        <w:ind w:firstLine="640" w:firstLineChars="200"/>
        <w:rPr>
          <w:rFonts w:ascii="仿宋" w:hAnsi="仿宋" w:eastAsia="仿宋"/>
          <w:sz w:val="32"/>
          <w:szCs w:val="32"/>
        </w:rPr>
      </w:pPr>
      <w:r>
        <w:rPr>
          <w:rFonts w:hint="eastAsia" w:ascii="仿宋" w:hAnsi="仿宋" w:eastAsia="仿宋"/>
          <w:sz w:val="32"/>
          <w:szCs w:val="32"/>
        </w:rPr>
        <w:t>2.制定并落实本行政区域的经济计划和措施，促进产业结构调整及其他经济保持平衡协调发展，全面提高人民群众的生活水平和生活质量。</w:t>
      </w:r>
    </w:p>
    <w:p>
      <w:pPr>
        <w:ind w:firstLine="640" w:firstLineChars="200"/>
        <w:rPr>
          <w:rFonts w:ascii="仿宋" w:hAnsi="仿宋" w:eastAsia="仿宋"/>
          <w:sz w:val="32"/>
          <w:szCs w:val="32"/>
        </w:rPr>
      </w:pPr>
      <w:r>
        <w:rPr>
          <w:rFonts w:hint="eastAsia" w:ascii="仿宋" w:hAnsi="仿宋" w:eastAsia="仿宋"/>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ind w:firstLine="640" w:firstLineChars="200"/>
        <w:rPr>
          <w:rFonts w:ascii="仿宋" w:hAnsi="仿宋" w:eastAsia="仿宋"/>
          <w:sz w:val="32"/>
          <w:szCs w:val="32"/>
        </w:rPr>
      </w:pPr>
      <w:r>
        <w:rPr>
          <w:rFonts w:hint="eastAsia" w:ascii="仿宋" w:hAnsi="仿宋" w:eastAsia="仿宋"/>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ind w:firstLine="640" w:firstLineChars="200"/>
        <w:rPr>
          <w:rFonts w:ascii="仿宋" w:hAnsi="仿宋" w:eastAsia="仿宋"/>
          <w:sz w:val="32"/>
          <w:szCs w:val="32"/>
        </w:rPr>
      </w:pPr>
      <w:r>
        <w:rPr>
          <w:rFonts w:hint="eastAsia" w:ascii="仿宋" w:hAnsi="仿宋" w:eastAsia="仿宋"/>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640" w:firstLineChars="200"/>
        <w:rPr>
          <w:rFonts w:ascii="仿宋" w:hAnsi="仿宋" w:eastAsia="仿宋"/>
          <w:sz w:val="32"/>
          <w:szCs w:val="32"/>
        </w:rPr>
      </w:pPr>
      <w:r>
        <w:rPr>
          <w:rFonts w:hint="eastAsia" w:ascii="仿宋" w:hAnsi="仿宋" w:eastAsia="仿宋"/>
          <w:sz w:val="32"/>
          <w:szCs w:val="32"/>
        </w:rPr>
        <w:t>6.加强镇级财政的监督和管理，按计划组织、管理镇财政收入和支出，执行国家有关财经纪律和政策，保证国家财政收入的完成;做好统计工作。</w:t>
      </w:r>
    </w:p>
    <w:p>
      <w:pPr>
        <w:ind w:firstLine="640" w:firstLineChars="200"/>
        <w:rPr>
          <w:rFonts w:ascii="仿宋" w:hAnsi="仿宋" w:eastAsia="仿宋"/>
          <w:sz w:val="32"/>
          <w:szCs w:val="32"/>
        </w:rPr>
      </w:pPr>
      <w:r>
        <w:rPr>
          <w:rFonts w:hint="eastAsia" w:ascii="仿宋" w:hAnsi="仿宋" w:eastAsia="仿宋"/>
          <w:sz w:val="32"/>
          <w:szCs w:val="32"/>
        </w:rPr>
        <w:t>7.指导、支持、帮助村(居)民委员会的组织制度建设和业务建设，促进村(居)民委员会民主自治。</w:t>
      </w:r>
    </w:p>
    <w:p>
      <w:pPr>
        <w:ind w:firstLine="640" w:firstLineChars="200"/>
        <w:rPr>
          <w:rFonts w:ascii="仿宋" w:hAnsi="仿宋" w:eastAsia="仿宋"/>
          <w:sz w:val="32"/>
          <w:szCs w:val="32"/>
        </w:rPr>
      </w:pPr>
      <w:r>
        <w:rPr>
          <w:rFonts w:hint="eastAsia" w:ascii="仿宋" w:hAnsi="仿宋" w:eastAsia="仿宋"/>
          <w:sz w:val="32"/>
          <w:szCs w:val="32"/>
        </w:rPr>
        <w:t>8.制定和组织实施镇村建设规划;加强公用、市政设施、水利建设和管理以及房屋土地管理和环境综合整治工作，保护和改善生活环境和生态环境。</w:t>
      </w:r>
    </w:p>
    <w:p>
      <w:pPr>
        <w:ind w:firstLine="640" w:firstLineChars="200"/>
        <w:rPr>
          <w:rFonts w:ascii="仿宋" w:hAnsi="仿宋" w:eastAsia="仿宋"/>
          <w:sz w:val="32"/>
          <w:szCs w:val="32"/>
        </w:rPr>
      </w:pPr>
      <w:r>
        <w:rPr>
          <w:rFonts w:hint="eastAsia" w:ascii="仿宋" w:hAnsi="仿宋" w:eastAsia="仿宋"/>
          <w:sz w:val="32"/>
          <w:szCs w:val="32"/>
        </w:rPr>
        <w:t>9.承办县委、人民政府交办的其它事项。</w:t>
      </w:r>
    </w:p>
    <w:p>
      <w:pPr>
        <w:ind w:firstLine="640" w:firstLineChars="200"/>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纳入朗县仲达镇2022年部门预算编制范围的部门包括党群办、</w:t>
      </w:r>
      <w:bookmarkStart w:id="0" w:name="OLE_LINK1"/>
      <w:r>
        <w:rPr>
          <w:rFonts w:hint="eastAsia" w:ascii="仿宋" w:hAnsi="仿宋" w:eastAsia="仿宋"/>
          <w:sz w:val="32"/>
          <w:szCs w:val="32"/>
        </w:rPr>
        <w:t>政务办、财务室、经济与社会保障办、综治办5个行政部门；文化服务中心、农牧林综合服务中心、后勤服务中心、卫生院</w:t>
      </w:r>
      <w:bookmarkEnd w:id="0"/>
      <w:r>
        <w:rPr>
          <w:rFonts w:hint="eastAsia" w:ascii="仿宋" w:hAnsi="仿宋" w:eastAsia="仿宋"/>
          <w:sz w:val="32"/>
          <w:szCs w:val="32"/>
        </w:rPr>
        <w:t>4个事业部门。</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p>
    <w:p>
      <w:pPr>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ind w:firstLine="640" w:firstLineChars="200"/>
        <w:jc w:val="center"/>
        <w:rPr>
          <w:rFonts w:ascii="方正小标宋简体" w:hAnsi="仿宋" w:eastAsia="方正小标宋简体"/>
          <w:sz w:val="32"/>
          <w:szCs w:val="32"/>
        </w:rPr>
      </w:pPr>
    </w:p>
    <w:p>
      <w:pPr>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朗县仲达镇人民政府2022年度预算明细表</w:t>
      </w:r>
    </w:p>
    <w:p>
      <w:pPr>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ind w:firstLine="640" w:firstLineChars="200"/>
        <w:jc w:val="center"/>
        <w:rPr>
          <w:rFonts w:ascii="方正小标宋简体" w:hAnsi="仿宋" w:eastAsia="方正小标宋简体"/>
          <w:sz w:val="32"/>
          <w:szCs w:val="32"/>
        </w:rPr>
      </w:pPr>
    </w:p>
    <w:p>
      <w:pPr>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朗县仲达镇人民政府2022年度部门预算数据分析</w:t>
      </w:r>
    </w:p>
    <w:p>
      <w:pPr>
        <w:ind w:firstLine="640" w:firstLineChars="200"/>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一、2022年部门收支总表的说明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2022年收支总预算1528.04万元。收入包括：一般公共预算拨款收入1502.17万元,上年结转25.87万元；支出包括：一般公共服务支出1190.36万元，社会保障和就业支出139.66万元，卫生健康支出73.73万元，节能环保支出1万元，农林水支出25.69万元，住房保障支出97.60万元。</w:t>
      </w:r>
    </w:p>
    <w:p>
      <w:pPr>
        <w:ind w:firstLine="640" w:firstLineChars="200"/>
        <w:rPr>
          <w:rFonts w:ascii="黑体" w:hAnsi="黑体" w:eastAsia="黑体"/>
          <w:sz w:val="32"/>
          <w:szCs w:val="32"/>
        </w:rPr>
      </w:pPr>
      <w:r>
        <w:rPr>
          <w:rFonts w:hint="eastAsia" w:ascii="黑体" w:hAnsi="黑体" w:eastAsia="黑体"/>
          <w:sz w:val="32"/>
          <w:szCs w:val="32"/>
        </w:rPr>
        <w:t>二、2022年度部门收入总表的说明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收入预算1528.04万元，其中：本年收入一般公共预算资金收入1502.17万元，占98.31%；上年结转结余一般公共预算资金25.87万元，占1.69%</w:t>
      </w:r>
      <w:r>
        <w:rPr>
          <w:rFonts w:ascii="仿宋" w:hAnsi="仿宋" w:eastAsia="仿宋"/>
          <w:sz w:val="32"/>
          <w:szCs w:val="32"/>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三、2022年部门支出总表的说明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2022年支出预算1528.04万元，其中：基本支出1352.51万元，占88.51%；项目支出175.53万元，占11.49%。</w:t>
      </w:r>
    </w:p>
    <w:p>
      <w:pPr>
        <w:ind w:firstLine="640" w:firstLineChars="200"/>
        <w:rPr>
          <w:rFonts w:ascii="黑体" w:hAnsi="黑体" w:eastAsia="黑体"/>
          <w:sz w:val="32"/>
          <w:szCs w:val="32"/>
        </w:rPr>
      </w:pPr>
      <w:r>
        <w:rPr>
          <w:rFonts w:hint="eastAsia" w:ascii="黑体" w:hAnsi="黑体" w:eastAsia="黑体"/>
          <w:sz w:val="32"/>
          <w:szCs w:val="32"/>
        </w:rPr>
        <w:t>四、2022年财政拨款收支总表的说明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2022年财政拨款收支总预算1528.04万元。收入为一般公共预算拨款1528.04万元，包括：一般公共预算当年拨款收入1502.17万元，上年结转结余25.87万元；支出包括：一般公共服务支出1190.36万元，社会保障和就业支出139.66万元，卫生健康支出73.73万元，节能环保支出1万元，农林水支出25.69万元，住房保障支出97.60万元。</w:t>
      </w:r>
    </w:p>
    <w:p>
      <w:pPr>
        <w:ind w:firstLine="640" w:firstLineChars="200"/>
        <w:rPr>
          <w:rFonts w:ascii="黑体" w:hAnsi="黑体" w:eastAsia="黑体"/>
          <w:sz w:val="32"/>
          <w:szCs w:val="32"/>
        </w:rPr>
      </w:pPr>
      <w:r>
        <w:rPr>
          <w:rFonts w:hint="eastAsia" w:ascii="黑体" w:hAnsi="黑体" w:eastAsia="黑体"/>
          <w:sz w:val="32"/>
          <w:szCs w:val="32"/>
        </w:rPr>
        <w:t>五、2022年一般公共预算支出表的说明</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2022年一般公共预算当年拨款1502.17万元,比20</w:t>
      </w:r>
      <w:r>
        <w:rPr>
          <w:rFonts w:ascii="仿宋" w:hAnsi="仿宋" w:eastAsia="仿宋"/>
          <w:sz w:val="32"/>
          <w:szCs w:val="32"/>
        </w:rPr>
        <w:t>2</w:t>
      </w:r>
      <w:r>
        <w:rPr>
          <w:rFonts w:hint="eastAsia" w:ascii="仿宋" w:hAnsi="仿宋" w:eastAsia="仿宋"/>
          <w:sz w:val="32"/>
          <w:szCs w:val="32"/>
        </w:rPr>
        <w:t>1 年执行数1531.77万元，减少29.6万元，占1.93%，主要原因： 2022年仲达镇调出人员较多，新增人员较少。</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一般公共服务支出1190.18万元，占79.23%；社会保障和就业支出139.66万元，占9.30%，卫生健康支出73.73万元，占4.90%，节能环保支出1万元，占0.07%，住房保障支出97.60万元，占6.5%。</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1.一般公共服务支出（类）人大事务（款）其他人大事务支出（项）2022年预算数为1.5万元，比2021年执行数5.79万元，减少4.29万元，降低74.09%，主要：2022年人大保障机制经费暂无预算。</w:t>
      </w:r>
    </w:p>
    <w:p>
      <w:pPr>
        <w:ind w:firstLine="640" w:firstLineChars="200"/>
        <w:rPr>
          <w:rFonts w:ascii="仿宋" w:hAnsi="仿宋" w:eastAsia="仿宋"/>
          <w:sz w:val="32"/>
          <w:szCs w:val="32"/>
        </w:rPr>
      </w:pPr>
      <w:r>
        <w:rPr>
          <w:rFonts w:hint="eastAsia" w:ascii="仿宋" w:hAnsi="仿宋" w:eastAsia="仿宋"/>
          <w:sz w:val="32"/>
          <w:szCs w:val="32"/>
        </w:rPr>
        <w:t>2.一般公共服务支出（类）政府办公厅（室）及相关机构事务（款）行政运行（项）2022年预算数为1078.38万元，比2021 年执行数1065.76万元，减少12.62万元，降低1.18%。主要是2022年仲达镇调出人员较多，新增人员较少。</w:t>
      </w:r>
    </w:p>
    <w:p>
      <w:pPr>
        <w:ind w:firstLine="640" w:firstLineChars="200"/>
        <w:rPr>
          <w:rFonts w:ascii="仿宋" w:hAnsi="仿宋" w:eastAsia="仿宋"/>
          <w:sz w:val="32"/>
          <w:szCs w:val="32"/>
        </w:rPr>
      </w:pPr>
      <w:r>
        <w:rPr>
          <w:rFonts w:hint="eastAsia" w:ascii="仿宋" w:hAnsi="仿宋" w:eastAsia="仿宋"/>
          <w:sz w:val="32"/>
          <w:szCs w:val="32"/>
        </w:rPr>
        <w:t>3、一般公共服务支出（类）政府办公厅（室）及相关机构事务（款）其他政府办公厅(室)及相关机构事务支出（项）2022年预算数98.27万元，比2021年执行数108.85减少10.58万元，降低9.72%，主要是2022年仲达镇调出人员较多，新增人员较少。</w:t>
      </w:r>
    </w:p>
    <w:p>
      <w:pPr>
        <w:ind w:firstLine="640" w:firstLineChars="200"/>
        <w:rPr>
          <w:rFonts w:hint="eastAsia" w:ascii="仿宋" w:hAnsi="仿宋" w:eastAsia="仿宋"/>
          <w:sz w:val="32"/>
          <w:szCs w:val="32"/>
        </w:rPr>
      </w:pPr>
      <w:r>
        <w:rPr>
          <w:rFonts w:hint="eastAsia" w:ascii="仿宋" w:hAnsi="仿宋" w:eastAsia="仿宋"/>
          <w:sz w:val="32"/>
          <w:szCs w:val="32"/>
        </w:rPr>
        <w:t>4、一般公共服务支出（类）纪检监察事务（款）一般行政管理事务（项）2022年预算数为7.03 万元，与2021年执行数7.03万元相等，无变化。</w:t>
      </w:r>
    </w:p>
    <w:p>
      <w:pPr>
        <w:ind w:firstLine="640" w:firstLineChars="200"/>
        <w:rPr>
          <w:rFonts w:ascii="仿宋" w:hAnsi="仿宋" w:eastAsia="仿宋"/>
          <w:sz w:val="32"/>
          <w:szCs w:val="32"/>
        </w:rPr>
      </w:pPr>
      <w:r>
        <w:rPr>
          <w:rFonts w:hint="eastAsia" w:ascii="仿宋" w:hAnsi="仿宋" w:eastAsia="仿宋"/>
          <w:sz w:val="32"/>
          <w:szCs w:val="32"/>
        </w:rPr>
        <w:t>5、一般公共服务支出（类）纪检监察事务（款）及其他纪检监察事务（项）2022年预算数为1万元，与2021年执行数1万元相等，无变化。</w:t>
      </w:r>
    </w:p>
    <w:p>
      <w:pPr>
        <w:ind w:firstLine="640" w:firstLineChars="200"/>
        <w:rPr>
          <w:rFonts w:ascii="仿宋" w:hAnsi="仿宋" w:eastAsia="仿宋"/>
          <w:sz w:val="32"/>
          <w:szCs w:val="32"/>
        </w:rPr>
      </w:pPr>
      <w:r>
        <w:rPr>
          <w:rFonts w:hint="eastAsia" w:ascii="仿宋" w:hAnsi="仿宋" w:eastAsia="仿宋"/>
          <w:sz w:val="32"/>
          <w:szCs w:val="32"/>
        </w:rPr>
        <w:t>6、一般公共服务支出（类）党委办公厅（室）及相关机构事务（款）其他党委办公厅（室）及相关机构事务支出（项）2022年预算数为4万元，比2021年执行数10.84万元，减少6.84万元，降低63.09%，原因2022年仲达镇调出人员较多，新增人员较少。</w:t>
      </w:r>
    </w:p>
    <w:p>
      <w:pPr>
        <w:ind w:firstLine="640" w:firstLineChars="200"/>
        <w:rPr>
          <w:rFonts w:ascii="仿宋" w:hAnsi="仿宋" w:eastAsia="仿宋"/>
          <w:sz w:val="32"/>
          <w:szCs w:val="32"/>
        </w:rPr>
      </w:pPr>
      <w:r>
        <w:rPr>
          <w:rFonts w:hint="eastAsia" w:ascii="仿宋" w:hAnsi="仿宋" w:eastAsia="仿宋"/>
          <w:sz w:val="32"/>
          <w:szCs w:val="32"/>
        </w:rPr>
        <w:t>7、社会保障和就业支出（类）民政管理事务（款）基层政权和社区治理（项）2022年预算数为20万元，与2021年执行数20万元相等，无变化。</w:t>
      </w:r>
    </w:p>
    <w:p>
      <w:pPr>
        <w:ind w:firstLine="640" w:firstLineChars="200"/>
        <w:rPr>
          <w:rFonts w:ascii="仿宋" w:hAnsi="仿宋" w:eastAsia="仿宋"/>
          <w:sz w:val="32"/>
          <w:szCs w:val="32"/>
        </w:rPr>
      </w:pPr>
      <w:r>
        <w:rPr>
          <w:rFonts w:hint="eastAsia" w:ascii="仿宋" w:hAnsi="仿宋" w:eastAsia="仿宋"/>
          <w:sz w:val="32"/>
          <w:szCs w:val="32"/>
        </w:rPr>
        <w:t>8、社会保障和就业支出（类）行政事业单位养老支出（款）机关事业单位基本养老保险缴费支出（项）2022年预算数117.04万元，比2021年执行数135.28万元，减少18.24万元，降低13.48%，主要是2022年仲达镇调出人员较多，新增人员较少。</w:t>
      </w:r>
    </w:p>
    <w:p>
      <w:pPr>
        <w:ind w:firstLine="640" w:firstLineChars="200"/>
        <w:rPr>
          <w:rFonts w:ascii="仿宋" w:hAnsi="仿宋" w:eastAsia="仿宋"/>
          <w:sz w:val="32"/>
          <w:szCs w:val="32"/>
        </w:rPr>
      </w:pPr>
      <w:r>
        <w:rPr>
          <w:rFonts w:hint="eastAsia" w:ascii="仿宋" w:hAnsi="仿宋" w:eastAsia="仿宋"/>
          <w:sz w:val="32"/>
          <w:szCs w:val="32"/>
        </w:rPr>
        <w:t>9、社会保障和就业支出（类）财政对其他社会保险基金的补助（款）财政对失业保险基金的补助（项）2022年预算数1.89万元，比2021年执行数2.55万元，减少0.66万元，降低25.88%，主要是2022年仲达镇调出人员较多，新增人员较少。</w:t>
      </w:r>
    </w:p>
    <w:p>
      <w:pPr>
        <w:ind w:firstLine="640" w:firstLineChars="200"/>
        <w:rPr>
          <w:rFonts w:ascii="仿宋" w:hAnsi="仿宋" w:eastAsia="仿宋"/>
          <w:sz w:val="32"/>
          <w:szCs w:val="32"/>
        </w:rPr>
      </w:pPr>
      <w:r>
        <w:rPr>
          <w:rFonts w:hint="eastAsia" w:ascii="仿宋" w:hAnsi="仿宋" w:eastAsia="仿宋"/>
          <w:sz w:val="32"/>
          <w:szCs w:val="32"/>
        </w:rPr>
        <w:t>10、社会保障和就业支出（类）财政对其他社会保险基金的补助（款）财政对工伤保险基金的补助（项）2022年预算数0.73万元，比2021年执行数0.77万元，减少0.04万元，降低5.19%，主要是2022年仲达镇调出人员较多，新增人员较少。</w:t>
      </w:r>
    </w:p>
    <w:p>
      <w:pPr>
        <w:ind w:firstLine="640" w:firstLineChars="200"/>
        <w:rPr>
          <w:rFonts w:ascii="仿宋" w:hAnsi="仿宋" w:eastAsia="仿宋"/>
          <w:sz w:val="32"/>
          <w:szCs w:val="32"/>
        </w:rPr>
      </w:pPr>
      <w:r>
        <w:rPr>
          <w:rFonts w:hint="eastAsia" w:ascii="仿宋" w:hAnsi="仿宋" w:eastAsia="仿宋"/>
          <w:sz w:val="32"/>
          <w:szCs w:val="32"/>
        </w:rPr>
        <w:t>11、卫生健康支出（类）基层医疗卫生机构（款）其他基层医疗卫生机构支出（项）2022年预算数为3万元，与2021年执行数3万元相等，无变化。</w:t>
      </w:r>
    </w:p>
    <w:p>
      <w:pPr>
        <w:ind w:firstLine="640" w:firstLineChars="200"/>
        <w:rPr>
          <w:rFonts w:ascii="仿宋" w:hAnsi="仿宋" w:eastAsia="仿宋"/>
          <w:sz w:val="32"/>
          <w:szCs w:val="32"/>
        </w:rPr>
      </w:pPr>
      <w:r>
        <w:rPr>
          <w:rFonts w:hint="eastAsia" w:ascii="仿宋" w:hAnsi="仿宋" w:eastAsia="仿宋"/>
          <w:sz w:val="32"/>
          <w:szCs w:val="32"/>
        </w:rPr>
        <w:t>12、卫生健康支出（类）行政事业单位医疗（款）公务员医疗补助（项）2022年预算数为7.09万元，比2021年执行数10.94万元，减少3.85万元，降低35.19%，主要是2022年仲达镇调出人员较多，新增人员较少。</w:t>
      </w:r>
    </w:p>
    <w:p>
      <w:pPr>
        <w:ind w:firstLine="640" w:firstLineChars="200"/>
        <w:rPr>
          <w:rFonts w:ascii="仿宋" w:hAnsi="仿宋" w:eastAsia="仿宋"/>
          <w:sz w:val="32"/>
          <w:szCs w:val="32"/>
        </w:rPr>
      </w:pPr>
      <w:r>
        <w:rPr>
          <w:rFonts w:hint="eastAsia" w:ascii="仿宋" w:hAnsi="仿宋" w:eastAsia="仿宋"/>
          <w:sz w:val="32"/>
          <w:szCs w:val="32"/>
        </w:rPr>
        <w:t>13、卫生健康支出（类）财政对基本医疗保险基金的补助（款）财政对职工基本医疗保险基金的补助（项）2022年预算数为63.64万元，比2021年执行数72.03万元，减少8.39万元，降低11.65%，主要是2022年仲达镇调出人员较多，新增人员较少。</w:t>
      </w:r>
    </w:p>
    <w:p>
      <w:pPr>
        <w:ind w:firstLine="640" w:firstLineChars="200"/>
        <w:rPr>
          <w:rFonts w:ascii="仿宋" w:hAnsi="仿宋" w:eastAsia="仿宋"/>
          <w:sz w:val="32"/>
          <w:szCs w:val="32"/>
        </w:rPr>
      </w:pPr>
      <w:r>
        <w:rPr>
          <w:rFonts w:hint="eastAsia" w:ascii="仿宋" w:hAnsi="仿宋" w:eastAsia="仿宋"/>
          <w:sz w:val="32"/>
          <w:szCs w:val="32"/>
        </w:rPr>
        <w:t>14、节能环保支出（类）自然生态保护（款）农村环境保护（项）2022年预算数为1万元，与2021年执行数1万元相等，无变化。</w:t>
      </w:r>
    </w:p>
    <w:p>
      <w:pPr>
        <w:ind w:firstLine="640" w:firstLineChars="200"/>
        <w:rPr>
          <w:rFonts w:ascii="仿宋" w:hAnsi="仿宋" w:eastAsia="仿宋"/>
          <w:sz w:val="32"/>
          <w:szCs w:val="32"/>
        </w:rPr>
      </w:pPr>
      <w:r>
        <w:rPr>
          <w:rFonts w:hint="eastAsia" w:ascii="仿宋" w:hAnsi="仿宋" w:eastAsia="仿宋"/>
          <w:sz w:val="32"/>
          <w:szCs w:val="32"/>
        </w:rPr>
        <w:t>15、住房保障支出（类）住房改革支出（款）住房公积金（项）2022年预算数为97.60万元，比2021年执行数86.93万元，增加10.67万元，增长12.27%，主要是2022年干部住房公积金提高。</w:t>
      </w:r>
    </w:p>
    <w:p>
      <w:pPr>
        <w:ind w:firstLine="640" w:firstLineChars="200"/>
        <w:rPr>
          <w:rFonts w:ascii="黑体" w:hAnsi="黑体" w:eastAsia="黑体"/>
          <w:sz w:val="32"/>
          <w:szCs w:val="32"/>
        </w:rPr>
      </w:pPr>
      <w:r>
        <w:rPr>
          <w:rFonts w:hint="eastAsia" w:ascii="黑体" w:hAnsi="黑体" w:eastAsia="黑体"/>
          <w:sz w:val="32"/>
          <w:szCs w:val="32"/>
        </w:rPr>
        <w:t>六、2022年一般公共预算基本支出表的说明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2022年一般公共预算基本支出1352.51万元，其中：</w:t>
      </w:r>
    </w:p>
    <w:p>
      <w:pPr>
        <w:ind w:firstLine="640" w:firstLineChars="200"/>
        <w:rPr>
          <w:rFonts w:ascii="仿宋" w:hAnsi="仿宋" w:eastAsia="仿宋"/>
          <w:sz w:val="32"/>
          <w:szCs w:val="32"/>
        </w:rPr>
      </w:pPr>
      <w:r>
        <w:rPr>
          <w:rFonts w:hint="eastAsia" w:ascii="仿宋" w:hAnsi="仿宋" w:eastAsia="仿宋"/>
          <w:sz w:val="32"/>
          <w:szCs w:val="32"/>
        </w:rPr>
        <w:t>人员经费1284.06万元，主要包括：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公用经费68.45万元，主要包括：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七、2022年度一般公共预算“三公”经费预算情况说明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2022年“三公”经费预算数为19.23万元，其中：因公出国（境）费0万元，公务用车购置及运行费17.11万元，公务接待费2.12万元。2022年“三公”经费预算比2021年减少2.04万元，压缩9.59%，主要是2022年仲达镇调出人员较多，新增人员较少。</w:t>
      </w:r>
    </w:p>
    <w:p>
      <w:pPr>
        <w:ind w:firstLine="640" w:firstLineChars="200"/>
        <w:rPr>
          <w:rFonts w:ascii="仿宋" w:hAnsi="仿宋" w:eastAsia="仿宋"/>
          <w:sz w:val="32"/>
          <w:szCs w:val="32"/>
        </w:rPr>
      </w:pPr>
      <w:r>
        <w:rPr>
          <w:rFonts w:hint="eastAsia" w:ascii="仿宋" w:hAnsi="仿宋" w:eastAsia="仿宋"/>
          <w:sz w:val="32"/>
          <w:szCs w:val="32"/>
        </w:rPr>
        <w:t>2022年仲达镇人民政府公务用车保有量为5辆，国内公务接待13批次、112人。</w:t>
      </w:r>
    </w:p>
    <w:p>
      <w:pPr>
        <w:ind w:firstLine="640" w:firstLineChars="200"/>
        <w:rPr>
          <w:rFonts w:ascii="黑体" w:hAnsi="黑体" w:eastAsia="黑体"/>
          <w:sz w:val="32"/>
          <w:szCs w:val="32"/>
        </w:rPr>
      </w:pPr>
      <w:r>
        <w:rPr>
          <w:rFonts w:hint="eastAsia" w:ascii="黑体" w:hAnsi="黑体" w:eastAsia="黑体"/>
          <w:sz w:val="32"/>
          <w:szCs w:val="32"/>
        </w:rPr>
        <w:t>八、2022年度政府性基金预算支出情况说明</w:t>
      </w:r>
    </w:p>
    <w:tbl>
      <w:tblPr>
        <w:tblStyle w:val="8"/>
        <w:tblW w:w="9140" w:type="dxa"/>
        <w:tblInd w:w="95" w:type="dxa"/>
        <w:tblLayout w:type="fixed"/>
        <w:tblCellMar>
          <w:top w:w="0" w:type="dxa"/>
          <w:left w:w="108" w:type="dxa"/>
          <w:bottom w:w="0" w:type="dxa"/>
          <w:right w:w="108" w:type="dxa"/>
        </w:tblCellMar>
      </w:tblPr>
      <w:tblGrid>
        <w:gridCol w:w="1060"/>
        <w:gridCol w:w="1500"/>
        <w:gridCol w:w="1100"/>
        <w:gridCol w:w="1160"/>
        <w:gridCol w:w="1420"/>
        <w:gridCol w:w="1240"/>
        <w:gridCol w:w="1020"/>
        <w:gridCol w:w="640"/>
      </w:tblGrid>
      <w:tr>
        <w:tblPrEx>
          <w:tblLayout w:type="fixed"/>
          <w:tblCellMar>
            <w:top w:w="0" w:type="dxa"/>
            <w:left w:w="108" w:type="dxa"/>
            <w:bottom w:w="0" w:type="dxa"/>
            <w:right w:w="108" w:type="dxa"/>
          </w:tblCellMar>
        </w:tblPrEx>
        <w:trPr>
          <w:trHeight w:val="458" w:hRule="atLeast"/>
        </w:trPr>
        <w:tc>
          <w:tcPr>
            <w:tcW w:w="9140"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pPr>
              <w:widowControl/>
              <w:ind w:firstLine="643" w:firstLineChars="200"/>
              <w:jc w:val="center"/>
              <w:rPr>
                <w:rFonts w:ascii="宋体" w:hAnsi="宋体" w:cs="宋体"/>
                <w:b/>
                <w:bCs/>
                <w:kern w:val="0"/>
                <w:sz w:val="32"/>
                <w:szCs w:val="32"/>
              </w:rPr>
            </w:pPr>
            <w:r>
              <w:rPr>
                <w:rFonts w:hint="eastAsia" w:ascii="宋体" w:hAnsi="宋体" w:cs="宋体"/>
                <w:b/>
                <w:bCs/>
                <w:kern w:val="0"/>
                <w:sz w:val="32"/>
                <w:szCs w:val="32"/>
              </w:rPr>
              <w:t>政府性基金预算支出表</w:t>
            </w:r>
          </w:p>
        </w:tc>
      </w:tr>
      <w:tr>
        <w:tblPrEx>
          <w:tblLayout w:type="fixed"/>
          <w:tblCellMar>
            <w:top w:w="0" w:type="dxa"/>
            <w:left w:w="108" w:type="dxa"/>
            <w:bottom w:w="0" w:type="dxa"/>
            <w:right w:w="108" w:type="dxa"/>
          </w:tblCellMar>
        </w:tblPrEx>
        <w:trPr>
          <w:trHeight w:val="390" w:hRule="atLeast"/>
        </w:trPr>
        <w:tc>
          <w:tcPr>
            <w:tcW w:w="2560" w:type="dxa"/>
            <w:gridSpan w:val="2"/>
            <w:tcBorders>
              <w:top w:val="single" w:color="FFFFFF" w:sz="4" w:space="0"/>
              <w:left w:val="single" w:color="FFFFFF" w:sz="4" w:space="0"/>
              <w:bottom w:val="nil"/>
              <w:right w:val="single" w:color="FFFFFF" w:sz="4" w:space="0"/>
            </w:tcBorders>
            <w:shd w:val="clear" w:color="auto" w:fill="auto"/>
            <w:vAlign w:val="center"/>
          </w:tcPr>
          <w:p>
            <w:pPr>
              <w:widowControl/>
              <w:ind w:firstLine="440" w:firstLineChars="200"/>
              <w:jc w:val="left"/>
              <w:rPr>
                <w:rFonts w:ascii="宋体" w:hAnsi="宋体" w:cs="宋体"/>
                <w:kern w:val="0"/>
                <w:sz w:val="22"/>
                <w:szCs w:val="22"/>
              </w:rPr>
            </w:pPr>
            <w:r>
              <w:rPr>
                <w:rFonts w:hint="eastAsia" w:ascii="宋体" w:hAnsi="宋体" w:cs="宋体"/>
                <w:kern w:val="0"/>
                <w:sz w:val="22"/>
                <w:szCs w:val="22"/>
              </w:rPr>
              <w:t>　</w:t>
            </w:r>
          </w:p>
        </w:tc>
        <w:tc>
          <w:tcPr>
            <w:tcW w:w="1100" w:type="dxa"/>
            <w:tcBorders>
              <w:top w:val="nil"/>
              <w:left w:val="nil"/>
              <w:bottom w:val="nil"/>
              <w:right w:val="single" w:color="FFFFFF" w:sz="4" w:space="0"/>
            </w:tcBorders>
            <w:shd w:val="clear" w:color="auto" w:fill="auto"/>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　</w:t>
            </w:r>
          </w:p>
        </w:tc>
        <w:tc>
          <w:tcPr>
            <w:tcW w:w="1160" w:type="dxa"/>
            <w:tcBorders>
              <w:top w:val="nil"/>
              <w:left w:val="nil"/>
              <w:bottom w:val="nil"/>
              <w:right w:val="nil"/>
            </w:tcBorders>
            <w:shd w:val="clear" w:color="auto" w:fill="auto"/>
            <w:vAlign w:val="center"/>
          </w:tcPr>
          <w:p>
            <w:pPr>
              <w:widowControl/>
              <w:ind w:firstLine="440" w:firstLineChars="200"/>
              <w:jc w:val="left"/>
              <w:rPr>
                <w:rFonts w:ascii="宋体" w:hAnsi="宋体" w:cs="宋体"/>
                <w:color w:val="000000"/>
                <w:kern w:val="0"/>
                <w:sz w:val="22"/>
                <w:szCs w:val="22"/>
              </w:rPr>
            </w:pPr>
          </w:p>
        </w:tc>
        <w:tc>
          <w:tcPr>
            <w:tcW w:w="1420" w:type="dxa"/>
            <w:tcBorders>
              <w:top w:val="nil"/>
              <w:left w:val="single" w:color="FFFFFF" w:sz="4" w:space="0"/>
              <w:bottom w:val="nil"/>
              <w:right w:val="single" w:color="FFFFFF" w:sz="4" w:space="0"/>
            </w:tcBorders>
            <w:shd w:val="clear" w:color="auto" w:fill="auto"/>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nil"/>
              <w:right w:val="nil"/>
            </w:tcBorders>
            <w:shd w:val="clear" w:color="auto" w:fill="auto"/>
            <w:vAlign w:val="center"/>
          </w:tcPr>
          <w:p>
            <w:pPr>
              <w:widowControl/>
              <w:ind w:firstLine="440" w:firstLineChars="200"/>
              <w:jc w:val="left"/>
              <w:rPr>
                <w:rFonts w:ascii="宋体" w:hAnsi="宋体" w:cs="宋体"/>
                <w:color w:val="000000"/>
                <w:kern w:val="0"/>
                <w:sz w:val="22"/>
                <w:szCs w:val="22"/>
              </w:rPr>
            </w:pPr>
          </w:p>
        </w:tc>
        <w:tc>
          <w:tcPr>
            <w:tcW w:w="1020" w:type="dxa"/>
            <w:tcBorders>
              <w:top w:val="nil"/>
              <w:left w:val="single" w:color="FFFFFF" w:sz="4" w:space="0"/>
              <w:bottom w:val="nil"/>
              <w:right w:val="single" w:color="FFFFFF" w:sz="4" w:space="0"/>
            </w:tcBorders>
            <w:shd w:val="clear" w:color="auto" w:fill="auto"/>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nil"/>
              <w:right w:val="nil"/>
            </w:tcBorders>
            <w:shd w:val="clear" w:color="auto" w:fill="auto"/>
            <w:vAlign w:val="center"/>
          </w:tcPr>
          <w:p>
            <w:pPr>
              <w:widowControl/>
              <w:ind w:firstLine="440" w:firstLineChars="200"/>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06" w:hRule="atLeast"/>
        </w:trPr>
        <w:tc>
          <w:tcPr>
            <w:tcW w:w="106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ind w:firstLine="442" w:firstLineChars="200"/>
              <w:jc w:val="center"/>
              <w:rPr>
                <w:rFonts w:ascii="宋体" w:hAnsi="宋体" w:cs="宋体"/>
                <w:b/>
                <w:bCs/>
                <w:kern w:val="0"/>
                <w:sz w:val="22"/>
                <w:szCs w:val="22"/>
              </w:rPr>
            </w:pPr>
            <w:r>
              <w:rPr>
                <w:rFonts w:hint="eastAsia" w:ascii="宋体" w:hAnsi="宋体" w:cs="宋体"/>
                <w:b/>
                <w:bCs/>
                <w:kern w:val="0"/>
                <w:sz w:val="22"/>
                <w:szCs w:val="22"/>
              </w:rPr>
              <w:t>单位/科目编码</w:t>
            </w:r>
          </w:p>
        </w:tc>
        <w:tc>
          <w:tcPr>
            <w:tcW w:w="150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ind w:firstLine="442" w:firstLineChars="200"/>
              <w:jc w:val="center"/>
              <w:rPr>
                <w:rFonts w:ascii="宋体" w:hAnsi="宋体" w:cs="宋体"/>
                <w:b/>
                <w:bCs/>
                <w:kern w:val="0"/>
                <w:sz w:val="22"/>
                <w:szCs w:val="22"/>
              </w:rPr>
            </w:pPr>
            <w:r>
              <w:rPr>
                <w:rFonts w:hint="eastAsia" w:ascii="宋体" w:hAnsi="宋体" w:cs="宋体"/>
                <w:b/>
                <w:bCs/>
                <w:kern w:val="0"/>
                <w:sz w:val="22"/>
                <w:szCs w:val="22"/>
              </w:rPr>
              <w:t>单位/科目名称</w:t>
            </w:r>
          </w:p>
        </w:tc>
        <w:tc>
          <w:tcPr>
            <w:tcW w:w="110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ind w:firstLine="442" w:firstLineChars="200"/>
              <w:jc w:val="center"/>
              <w:rPr>
                <w:rFonts w:ascii="宋体" w:hAnsi="宋体" w:cs="宋体"/>
                <w:b/>
                <w:bCs/>
                <w:kern w:val="0"/>
                <w:sz w:val="22"/>
                <w:szCs w:val="22"/>
              </w:rPr>
            </w:pPr>
            <w:r>
              <w:rPr>
                <w:rFonts w:hint="eastAsia" w:ascii="宋体" w:hAnsi="宋体" w:cs="宋体"/>
                <w:b/>
                <w:bCs/>
                <w:kern w:val="0"/>
                <w:sz w:val="22"/>
                <w:szCs w:val="22"/>
              </w:rPr>
              <w:t>合计</w:t>
            </w:r>
          </w:p>
        </w:tc>
        <w:tc>
          <w:tcPr>
            <w:tcW w:w="4840" w:type="dxa"/>
            <w:gridSpan w:val="4"/>
            <w:tcBorders>
              <w:top w:val="single" w:color="C2C3C4" w:sz="4" w:space="0"/>
              <w:left w:val="nil"/>
              <w:bottom w:val="single" w:color="C2C3C4" w:sz="4" w:space="0"/>
              <w:right w:val="single" w:color="C2C3C4" w:sz="4" w:space="0"/>
            </w:tcBorders>
            <w:shd w:val="clear" w:color="EFF2F7" w:fill="EFF2F7"/>
            <w:vAlign w:val="center"/>
          </w:tcPr>
          <w:p>
            <w:pPr>
              <w:widowControl/>
              <w:ind w:firstLine="442" w:firstLineChars="200"/>
              <w:jc w:val="center"/>
              <w:rPr>
                <w:rFonts w:ascii="宋体" w:hAnsi="宋体" w:cs="宋体"/>
                <w:b/>
                <w:bCs/>
                <w:kern w:val="0"/>
                <w:sz w:val="22"/>
                <w:szCs w:val="22"/>
              </w:rPr>
            </w:pPr>
            <w:r>
              <w:rPr>
                <w:rFonts w:hint="eastAsia" w:ascii="宋体" w:hAnsi="宋体" w:cs="宋体"/>
                <w:b/>
                <w:bCs/>
                <w:kern w:val="0"/>
                <w:sz w:val="22"/>
                <w:szCs w:val="22"/>
              </w:rPr>
              <w:t>基本支出</w:t>
            </w:r>
          </w:p>
        </w:tc>
        <w:tc>
          <w:tcPr>
            <w:tcW w:w="64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widowControl/>
              <w:ind w:firstLine="442" w:firstLineChars="200"/>
              <w:jc w:val="center"/>
              <w:rPr>
                <w:rFonts w:ascii="宋体" w:hAnsi="宋体" w:cs="宋体"/>
                <w:b/>
                <w:bCs/>
                <w:kern w:val="0"/>
                <w:sz w:val="22"/>
                <w:szCs w:val="22"/>
              </w:rPr>
            </w:pPr>
            <w:r>
              <w:rPr>
                <w:rFonts w:hint="eastAsia" w:ascii="宋体" w:hAnsi="宋体" w:cs="宋体"/>
                <w:b/>
                <w:bCs/>
                <w:kern w:val="0"/>
                <w:sz w:val="22"/>
                <w:szCs w:val="22"/>
              </w:rPr>
              <w:t>项目支出</w:t>
            </w:r>
          </w:p>
        </w:tc>
      </w:tr>
      <w:tr>
        <w:tblPrEx>
          <w:tblLayout w:type="fixed"/>
          <w:tblCellMar>
            <w:top w:w="0" w:type="dxa"/>
            <w:left w:w="108" w:type="dxa"/>
            <w:bottom w:w="0" w:type="dxa"/>
            <w:right w:w="108" w:type="dxa"/>
          </w:tblCellMar>
        </w:tblPrEx>
        <w:trPr>
          <w:trHeight w:val="854" w:hRule="atLeast"/>
        </w:trPr>
        <w:tc>
          <w:tcPr>
            <w:tcW w:w="1060" w:type="dxa"/>
            <w:vMerge w:val="continue"/>
            <w:tcBorders>
              <w:top w:val="single" w:color="C2C3C4" w:sz="4" w:space="0"/>
              <w:left w:val="single" w:color="C2C3C4" w:sz="4" w:space="0"/>
              <w:bottom w:val="single" w:color="C2C3C4" w:sz="4" w:space="0"/>
              <w:right w:val="single" w:color="C2C3C4" w:sz="4" w:space="0"/>
            </w:tcBorders>
            <w:vAlign w:val="center"/>
          </w:tcPr>
          <w:p>
            <w:pPr>
              <w:widowControl/>
              <w:ind w:firstLine="442" w:firstLineChars="200"/>
              <w:jc w:val="left"/>
              <w:rPr>
                <w:rFonts w:ascii="宋体" w:hAnsi="宋体" w:cs="宋体"/>
                <w:b/>
                <w:bCs/>
                <w:kern w:val="0"/>
                <w:sz w:val="22"/>
                <w:szCs w:val="22"/>
              </w:rPr>
            </w:pPr>
          </w:p>
        </w:tc>
        <w:tc>
          <w:tcPr>
            <w:tcW w:w="1500" w:type="dxa"/>
            <w:vMerge w:val="continue"/>
            <w:tcBorders>
              <w:top w:val="single" w:color="C2C3C4" w:sz="4" w:space="0"/>
              <w:left w:val="single" w:color="C2C3C4" w:sz="4" w:space="0"/>
              <w:bottom w:val="single" w:color="C2C3C4" w:sz="4" w:space="0"/>
              <w:right w:val="single" w:color="C2C3C4" w:sz="4" w:space="0"/>
            </w:tcBorders>
            <w:vAlign w:val="center"/>
          </w:tcPr>
          <w:p>
            <w:pPr>
              <w:widowControl/>
              <w:ind w:firstLine="442" w:firstLineChars="200"/>
              <w:jc w:val="left"/>
              <w:rPr>
                <w:rFonts w:ascii="宋体" w:hAnsi="宋体" w:cs="宋体"/>
                <w:b/>
                <w:bCs/>
                <w:kern w:val="0"/>
                <w:sz w:val="22"/>
                <w:szCs w:val="22"/>
              </w:rPr>
            </w:pPr>
          </w:p>
        </w:tc>
        <w:tc>
          <w:tcPr>
            <w:tcW w:w="1100" w:type="dxa"/>
            <w:vMerge w:val="continue"/>
            <w:tcBorders>
              <w:top w:val="single" w:color="C2C3C4" w:sz="4" w:space="0"/>
              <w:left w:val="single" w:color="C2C3C4" w:sz="4" w:space="0"/>
              <w:bottom w:val="single" w:color="C2C3C4" w:sz="4" w:space="0"/>
              <w:right w:val="single" w:color="C2C3C4" w:sz="4" w:space="0"/>
            </w:tcBorders>
            <w:vAlign w:val="center"/>
          </w:tcPr>
          <w:p>
            <w:pPr>
              <w:widowControl/>
              <w:ind w:firstLine="442" w:firstLineChars="200"/>
              <w:jc w:val="left"/>
              <w:rPr>
                <w:rFonts w:ascii="宋体" w:hAnsi="宋体" w:cs="宋体"/>
                <w:b/>
                <w:bCs/>
                <w:kern w:val="0"/>
                <w:sz w:val="22"/>
                <w:szCs w:val="22"/>
              </w:rPr>
            </w:pPr>
          </w:p>
        </w:tc>
        <w:tc>
          <w:tcPr>
            <w:tcW w:w="1160" w:type="dxa"/>
            <w:tcBorders>
              <w:top w:val="nil"/>
              <w:left w:val="nil"/>
              <w:bottom w:val="single" w:color="C2C3C4" w:sz="4" w:space="0"/>
              <w:right w:val="single" w:color="C2C3C4" w:sz="4" w:space="0"/>
            </w:tcBorders>
            <w:shd w:val="clear" w:color="EFF2F7" w:fill="EFF2F7"/>
            <w:vAlign w:val="center"/>
          </w:tcPr>
          <w:p>
            <w:pPr>
              <w:widowControl/>
              <w:ind w:firstLine="442" w:firstLineChars="200"/>
              <w:jc w:val="center"/>
              <w:rPr>
                <w:rFonts w:ascii="宋体" w:hAnsi="宋体" w:cs="宋体"/>
                <w:b/>
                <w:bCs/>
                <w:kern w:val="0"/>
                <w:sz w:val="22"/>
                <w:szCs w:val="22"/>
              </w:rPr>
            </w:pPr>
            <w:r>
              <w:rPr>
                <w:rFonts w:hint="eastAsia" w:ascii="宋体" w:hAnsi="宋体" w:cs="宋体"/>
                <w:b/>
                <w:bCs/>
                <w:kern w:val="0"/>
                <w:sz w:val="22"/>
                <w:szCs w:val="22"/>
              </w:rPr>
              <w:t>工资福利支出</w:t>
            </w:r>
          </w:p>
        </w:tc>
        <w:tc>
          <w:tcPr>
            <w:tcW w:w="1420" w:type="dxa"/>
            <w:tcBorders>
              <w:top w:val="nil"/>
              <w:left w:val="nil"/>
              <w:bottom w:val="single" w:color="C2C3C4" w:sz="4" w:space="0"/>
              <w:right w:val="single" w:color="C2C3C4" w:sz="4" w:space="0"/>
            </w:tcBorders>
            <w:shd w:val="clear" w:color="EFF2F7" w:fill="EFF2F7"/>
            <w:vAlign w:val="center"/>
          </w:tcPr>
          <w:p>
            <w:pPr>
              <w:widowControl/>
              <w:ind w:firstLine="442" w:firstLineChars="200"/>
              <w:jc w:val="center"/>
              <w:rPr>
                <w:rFonts w:ascii="宋体" w:hAnsi="宋体" w:cs="宋体"/>
                <w:b/>
                <w:bCs/>
                <w:kern w:val="0"/>
                <w:sz w:val="22"/>
                <w:szCs w:val="22"/>
              </w:rPr>
            </w:pPr>
            <w:r>
              <w:rPr>
                <w:rFonts w:hint="eastAsia" w:ascii="宋体" w:hAnsi="宋体" w:cs="宋体"/>
                <w:b/>
                <w:bCs/>
                <w:kern w:val="0"/>
                <w:sz w:val="22"/>
                <w:szCs w:val="22"/>
              </w:rPr>
              <w:t>对个人和家庭补助</w:t>
            </w:r>
          </w:p>
        </w:tc>
        <w:tc>
          <w:tcPr>
            <w:tcW w:w="1240" w:type="dxa"/>
            <w:tcBorders>
              <w:top w:val="nil"/>
              <w:left w:val="nil"/>
              <w:bottom w:val="single" w:color="C2C3C4" w:sz="4" w:space="0"/>
              <w:right w:val="single" w:color="C2C3C4" w:sz="4" w:space="0"/>
            </w:tcBorders>
            <w:shd w:val="clear" w:color="EFF2F7" w:fill="EFF2F7"/>
            <w:vAlign w:val="center"/>
          </w:tcPr>
          <w:p>
            <w:pPr>
              <w:widowControl/>
              <w:ind w:firstLine="442" w:firstLineChars="200"/>
              <w:jc w:val="center"/>
              <w:rPr>
                <w:rFonts w:ascii="宋体" w:hAnsi="宋体" w:cs="宋体"/>
                <w:b/>
                <w:bCs/>
                <w:kern w:val="0"/>
                <w:sz w:val="22"/>
                <w:szCs w:val="22"/>
              </w:rPr>
            </w:pPr>
            <w:r>
              <w:rPr>
                <w:rFonts w:hint="eastAsia" w:ascii="宋体" w:hAnsi="宋体" w:cs="宋体"/>
                <w:b/>
                <w:bCs/>
                <w:kern w:val="0"/>
                <w:sz w:val="22"/>
                <w:szCs w:val="22"/>
              </w:rPr>
              <w:t>其他</w:t>
            </w:r>
          </w:p>
        </w:tc>
        <w:tc>
          <w:tcPr>
            <w:tcW w:w="1020" w:type="dxa"/>
            <w:tcBorders>
              <w:top w:val="nil"/>
              <w:left w:val="nil"/>
              <w:bottom w:val="single" w:color="C2C3C4" w:sz="4" w:space="0"/>
              <w:right w:val="single" w:color="C2C3C4" w:sz="4" w:space="0"/>
            </w:tcBorders>
            <w:shd w:val="clear" w:color="EFF2F7" w:fill="EFF2F7"/>
            <w:vAlign w:val="center"/>
          </w:tcPr>
          <w:p>
            <w:pPr>
              <w:widowControl/>
              <w:ind w:firstLine="442" w:firstLineChars="200"/>
              <w:jc w:val="center"/>
              <w:rPr>
                <w:rFonts w:ascii="宋体" w:hAnsi="宋体" w:cs="宋体"/>
                <w:b/>
                <w:bCs/>
                <w:kern w:val="0"/>
                <w:sz w:val="22"/>
                <w:szCs w:val="22"/>
              </w:rPr>
            </w:pPr>
            <w:r>
              <w:rPr>
                <w:rFonts w:hint="eastAsia" w:ascii="宋体" w:hAnsi="宋体" w:cs="宋体"/>
                <w:b/>
                <w:bCs/>
                <w:kern w:val="0"/>
                <w:sz w:val="22"/>
                <w:szCs w:val="22"/>
              </w:rPr>
              <w:t>公用经费</w:t>
            </w:r>
          </w:p>
        </w:tc>
        <w:tc>
          <w:tcPr>
            <w:tcW w:w="640" w:type="dxa"/>
            <w:vMerge w:val="continue"/>
            <w:tcBorders>
              <w:top w:val="single" w:color="C2C3C4" w:sz="4" w:space="0"/>
              <w:left w:val="single" w:color="C2C3C4" w:sz="4" w:space="0"/>
              <w:bottom w:val="single" w:color="C2C3C4" w:sz="4" w:space="0"/>
              <w:right w:val="single" w:color="C2C3C4" w:sz="4" w:space="0"/>
            </w:tcBorders>
            <w:vAlign w:val="center"/>
          </w:tcPr>
          <w:p>
            <w:pPr>
              <w:widowControl/>
              <w:ind w:firstLine="442" w:firstLineChars="200"/>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838" w:hRule="atLeast"/>
        </w:trPr>
        <w:tc>
          <w:tcPr>
            <w:tcW w:w="1060" w:type="dxa"/>
            <w:tcBorders>
              <w:top w:val="nil"/>
              <w:left w:val="single" w:color="C2C3C4" w:sz="4" w:space="0"/>
              <w:bottom w:val="single" w:color="C2C3C4" w:sz="4" w:space="0"/>
              <w:right w:val="single" w:color="C2C3C4" w:sz="4" w:space="0"/>
            </w:tcBorders>
            <w:shd w:val="clear" w:color="auto" w:fill="auto"/>
            <w:vAlign w:val="center"/>
          </w:tcPr>
          <w:p>
            <w:pPr>
              <w:widowControl/>
              <w:ind w:firstLine="440" w:firstLineChars="200"/>
              <w:jc w:val="left"/>
              <w:rPr>
                <w:rFonts w:ascii="宋体" w:hAnsi="宋体" w:cs="宋体"/>
                <w:kern w:val="0"/>
                <w:sz w:val="22"/>
                <w:szCs w:val="22"/>
              </w:rPr>
            </w:pPr>
            <w:r>
              <w:rPr>
                <w:rFonts w:hint="eastAsia" w:ascii="宋体" w:hAnsi="宋体" w:cs="宋体"/>
                <w:kern w:val="0"/>
                <w:sz w:val="22"/>
                <w:szCs w:val="22"/>
              </w:rPr>
              <w:t>　</w:t>
            </w:r>
          </w:p>
        </w:tc>
        <w:tc>
          <w:tcPr>
            <w:tcW w:w="1500" w:type="dxa"/>
            <w:tcBorders>
              <w:top w:val="nil"/>
              <w:left w:val="nil"/>
              <w:bottom w:val="single" w:color="C2C3C4" w:sz="4" w:space="0"/>
              <w:right w:val="single" w:color="C2C3C4" w:sz="4" w:space="0"/>
            </w:tcBorders>
            <w:shd w:val="clear" w:color="auto" w:fill="auto"/>
            <w:vAlign w:val="center"/>
          </w:tcPr>
          <w:p>
            <w:pPr>
              <w:widowControl/>
              <w:ind w:firstLine="440" w:firstLineChars="200"/>
              <w:jc w:val="center"/>
              <w:rPr>
                <w:rFonts w:ascii="宋体" w:hAnsi="宋体" w:cs="宋体"/>
                <w:kern w:val="0"/>
                <w:sz w:val="22"/>
                <w:szCs w:val="22"/>
              </w:rPr>
            </w:pPr>
            <w:r>
              <w:rPr>
                <w:rFonts w:hint="eastAsia" w:ascii="宋体" w:hAnsi="宋体" w:cs="宋体"/>
                <w:kern w:val="0"/>
                <w:sz w:val="22"/>
                <w:szCs w:val="22"/>
              </w:rPr>
              <w:t>合    计</w:t>
            </w:r>
          </w:p>
        </w:tc>
        <w:tc>
          <w:tcPr>
            <w:tcW w:w="1100" w:type="dxa"/>
            <w:tcBorders>
              <w:top w:val="nil"/>
              <w:left w:val="nil"/>
              <w:bottom w:val="single" w:color="C2C3C4" w:sz="4" w:space="0"/>
              <w:right w:val="single" w:color="C2C3C4" w:sz="4" w:space="0"/>
            </w:tcBorders>
            <w:shd w:val="clear" w:color="FFFFFF" w:fill="FFFFFF"/>
            <w:vAlign w:val="center"/>
          </w:tcPr>
          <w:p>
            <w:pPr>
              <w:widowControl/>
              <w:ind w:firstLine="440" w:firstLineChars="200"/>
              <w:jc w:val="right"/>
              <w:rPr>
                <w:rFonts w:ascii="宋体" w:hAnsi="宋体" w:cs="宋体"/>
                <w:kern w:val="0"/>
                <w:sz w:val="22"/>
                <w:szCs w:val="22"/>
              </w:rPr>
            </w:pPr>
            <w:r>
              <w:rPr>
                <w:rFonts w:hint="eastAsia" w:ascii="宋体" w:hAnsi="宋体" w:cs="宋体"/>
                <w:kern w:val="0"/>
                <w:sz w:val="22"/>
                <w:szCs w:val="22"/>
              </w:rPr>
              <w:t>　</w:t>
            </w:r>
          </w:p>
        </w:tc>
        <w:tc>
          <w:tcPr>
            <w:tcW w:w="1160" w:type="dxa"/>
            <w:tcBorders>
              <w:top w:val="nil"/>
              <w:left w:val="nil"/>
              <w:bottom w:val="single" w:color="C2C3C4" w:sz="4" w:space="0"/>
              <w:right w:val="single" w:color="C2C3C4" w:sz="4" w:space="0"/>
            </w:tcBorders>
            <w:shd w:val="clear" w:color="auto" w:fill="auto"/>
            <w:vAlign w:val="center"/>
          </w:tcPr>
          <w:p>
            <w:pPr>
              <w:widowControl/>
              <w:ind w:firstLine="440" w:firstLineChars="200"/>
              <w:jc w:val="righ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C2C3C4" w:sz="4" w:space="0"/>
              <w:right w:val="single" w:color="C2C3C4" w:sz="4" w:space="0"/>
            </w:tcBorders>
            <w:shd w:val="clear" w:color="auto" w:fill="auto"/>
            <w:vAlign w:val="center"/>
          </w:tcPr>
          <w:p>
            <w:pPr>
              <w:widowControl/>
              <w:ind w:firstLine="440" w:firstLineChars="200"/>
              <w:jc w:val="righ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C2C3C4" w:sz="4" w:space="0"/>
              <w:right w:val="single" w:color="C2C3C4" w:sz="4" w:space="0"/>
            </w:tcBorders>
            <w:shd w:val="clear" w:color="auto" w:fill="auto"/>
            <w:vAlign w:val="center"/>
          </w:tcPr>
          <w:p>
            <w:pPr>
              <w:widowControl/>
              <w:ind w:firstLine="440" w:firstLineChars="200"/>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C2C3C4" w:sz="4" w:space="0"/>
              <w:right w:val="single" w:color="C2C3C4" w:sz="4" w:space="0"/>
            </w:tcBorders>
            <w:shd w:val="clear" w:color="auto" w:fill="auto"/>
            <w:vAlign w:val="center"/>
          </w:tcPr>
          <w:p>
            <w:pPr>
              <w:widowControl/>
              <w:ind w:firstLine="440" w:firstLineChars="200"/>
              <w:jc w:val="right"/>
              <w:rPr>
                <w:rFonts w:ascii="宋体" w:hAnsi="宋体" w:cs="宋体"/>
                <w:kern w:val="0"/>
                <w:sz w:val="22"/>
                <w:szCs w:val="22"/>
              </w:rPr>
            </w:pPr>
            <w:r>
              <w:rPr>
                <w:rFonts w:hint="eastAsia" w:ascii="宋体" w:hAnsi="宋体" w:cs="宋体"/>
                <w:kern w:val="0"/>
                <w:sz w:val="22"/>
                <w:szCs w:val="22"/>
              </w:rPr>
              <w:t>　</w:t>
            </w:r>
          </w:p>
        </w:tc>
        <w:tc>
          <w:tcPr>
            <w:tcW w:w="640" w:type="dxa"/>
            <w:tcBorders>
              <w:top w:val="nil"/>
              <w:left w:val="nil"/>
              <w:bottom w:val="single" w:color="C2C3C4" w:sz="4" w:space="0"/>
              <w:right w:val="single" w:color="C2C3C4" w:sz="4" w:space="0"/>
            </w:tcBorders>
            <w:shd w:val="clear" w:color="auto" w:fill="auto"/>
            <w:vAlign w:val="center"/>
          </w:tcPr>
          <w:p>
            <w:pPr>
              <w:widowControl/>
              <w:ind w:firstLine="440" w:firstLineChars="200"/>
              <w:jc w:val="right"/>
              <w:rPr>
                <w:rFonts w:ascii="宋体" w:hAnsi="宋体" w:cs="宋体"/>
                <w:kern w:val="0"/>
                <w:sz w:val="22"/>
                <w:szCs w:val="22"/>
              </w:rPr>
            </w:pPr>
            <w:r>
              <w:rPr>
                <w:rFonts w:hint="eastAsia" w:ascii="宋体" w:hAnsi="宋体" w:cs="宋体"/>
                <w:kern w:val="0"/>
                <w:sz w:val="22"/>
                <w:szCs w:val="22"/>
              </w:rPr>
              <w:t>　</w:t>
            </w: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仲达镇人民政府2022年度没有政府性基金安排的支出。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2年仲达镇人民政府机关运行经费财政拨款预算68.45万元，比</w:t>
      </w:r>
      <w:r>
        <w:rPr>
          <w:rFonts w:ascii="仿宋" w:hAnsi="仿宋" w:eastAsia="仿宋"/>
          <w:sz w:val="32"/>
          <w:szCs w:val="32"/>
        </w:rPr>
        <w:t>202</w:t>
      </w:r>
      <w:r>
        <w:rPr>
          <w:rFonts w:hint="eastAsia" w:ascii="仿宋" w:hAnsi="仿宋" w:eastAsia="仿宋"/>
          <w:sz w:val="32"/>
          <w:szCs w:val="32"/>
        </w:rPr>
        <w:t>1年</w:t>
      </w:r>
      <w:r>
        <w:rPr>
          <w:rFonts w:hint="eastAsia" w:ascii="仿宋" w:hAnsi="仿宋" w:eastAsia="仿宋"/>
          <w:sz w:val="32"/>
          <w:szCs w:val="32"/>
          <w:lang w:eastAsia="zh-CN"/>
        </w:rPr>
        <w:t>预算数</w:t>
      </w:r>
      <w:r>
        <w:rPr>
          <w:rFonts w:hint="eastAsia" w:ascii="仿宋" w:hAnsi="仿宋" w:eastAsia="仿宋"/>
          <w:sz w:val="32"/>
          <w:szCs w:val="32"/>
          <w:lang w:val="en-US" w:eastAsia="zh-CN"/>
        </w:rPr>
        <w:t>71.96</w:t>
      </w:r>
      <w:r>
        <w:rPr>
          <w:rFonts w:hint="eastAsia" w:ascii="仿宋" w:hAnsi="仿宋" w:eastAsia="仿宋"/>
          <w:sz w:val="32"/>
          <w:szCs w:val="32"/>
        </w:rPr>
        <w:t>万元，减少</w:t>
      </w:r>
      <w:r>
        <w:rPr>
          <w:rFonts w:hint="eastAsia" w:ascii="仿宋" w:hAnsi="仿宋" w:eastAsia="仿宋"/>
          <w:sz w:val="32"/>
          <w:szCs w:val="32"/>
          <w:lang w:val="en-US" w:eastAsia="zh-CN"/>
        </w:rPr>
        <w:t>3.51</w:t>
      </w:r>
      <w:r>
        <w:rPr>
          <w:rFonts w:hint="eastAsia" w:ascii="仿宋" w:hAnsi="仿宋" w:eastAsia="仿宋"/>
          <w:sz w:val="32"/>
          <w:szCs w:val="32"/>
        </w:rPr>
        <w:t>万元，降低</w:t>
      </w:r>
      <w:r>
        <w:rPr>
          <w:rFonts w:hint="eastAsia" w:ascii="仿宋" w:hAnsi="仿宋" w:eastAsia="仿宋"/>
          <w:sz w:val="32"/>
          <w:szCs w:val="32"/>
          <w:lang w:val="en-US" w:eastAsia="zh-CN"/>
        </w:rPr>
        <w:t>4.88</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rPr>
        <w:t>2年仲达镇人民政府无政府采购预算支出。</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rPr>
        <w:t>1年12月底，仲达镇人民政府共有车辆4辆，其中，领导干部用车（含在职和离退休部级干部用车）2辆、应急保障用车1辆、特种专业技术用车1辆。单位价值50万元以上通用设备0台（套），单位价值</w:t>
      </w:r>
      <w:r>
        <w:rPr>
          <w:rFonts w:ascii="仿宋" w:hAnsi="仿宋" w:eastAsia="仿宋"/>
          <w:sz w:val="32"/>
          <w:szCs w:val="32"/>
        </w:rPr>
        <w:t>100</w:t>
      </w:r>
      <w:r>
        <w:rPr>
          <w:rFonts w:hint="eastAsia" w:ascii="仿宋" w:hAnsi="仿宋" w:eastAsia="仿宋"/>
          <w:sz w:val="32"/>
          <w:szCs w:val="32"/>
        </w:rPr>
        <w:t>万元以上专用设备0台（套）。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（四）2022年预算绩效目标管理情况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2022年仲达镇人民政府实行财政支出绩效目标管理</w:t>
      </w:r>
      <w:r>
        <w:rPr>
          <w:rFonts w:hint="eastAsia" w:ascii="仿宋_GB2312" w:eastAsia="仿宋_GB2312" w:cs="仿宋_GB2312" w:hAnsiTheme="minorHAnsi"/>
          <w:kern w:val="0"/>
          <w:sz w:val="32"/>
          <w:szCs w:val="32"/>
        </w:rPr>
        <w:t>16</w:t>
      </w:r>
      <w:r>
        <w:rPr>
          <w:rFonts w:hint="eastAsia" w:ascii="仿宋" w:hAnsi="仿宋" w:eastAsia="仿宋"/>
          <w:sz w:val="32"/>
          <w:szCs w:val="32"/>
        </w:rPr>
        <w:t>个，资金1482.17万元，占2022年预算数1502.17万元的98.67%，其中：工资性支出823.40万元，其他社会保险缴费2.62万元，其他工资福利支出172.67万元，机关事业单位养老保险缴费117.04万元，城镇职工基本医疗保险缴费63.64万元，公务员医疗补助7.09万元，住房公积金97.60万元，商品和服务支出51.98万元，工会经费16.47万元，乡、村两级党建经费49万元，纪委工作经费1万元，纪委工作人员经费7.03万元人大工作经费1.5万元，乡村振兴专干专项经费13.86万元，虫草返还经费19.17万元，房租返还6.10万元，基层武装部民兵经费1万元食堂伙食补助5万元，扶贫攻坚经费2万元，自来水站运转经费15万元，维稳经费3万元，综治经费1万元，疫情防疫（鼠防）经费3万元，农村旺达保护经费1万元，预防青少年违法犯罪经费1万元。附重点项目绩效目标表。</w:t>
      </w:r>
    </w:p>
    <w:p>
      <w:pPr>
        <w:ind w:firstLine="640" w:firstLineChars="200"/>
        <w:rPr>
          <w:rFonts w:ascii="仿宋" w:hAnsi="仿宋" w:eastAsia="仿宋"/>
          <w:sz w:val="32"/>
          <w:szCs w:val="32"/>
        </w:rPr>
      </w:pPr>
      <w:r>
        <w:rPr>
          <w:rFonts w:hint="eastAsia" w:ascii="楷体" w:hAnsi="楷体" w:eastAsia="楷体"/>
          <w:sz w:val="32"/>
          <w:szCs w:val="32"/>
        </w:rPr>
        <w:t>（五）扶贫资金管理使用情况及绩效目标情况说明</w:t>
      </w:r>
    </w:p>
    <w:p>
      <w:pPr>
        <w:ind w:firstLine="640" w:firstLineChars="200"/>
        <w:rPr>
          <w:rFonts w:ascii="仿宋" w:hAnsi="仿宋" w:eastAsia="仿宋"/>
          <w:sz w:val="32"/>
          <w:szCs w:val="32"/>
        </w:rPr>
      </w:pPr>
      <w:r>
        <w:rPr>
          <w:rFonts w:hint="eastAsia" w:ascii="仿宋" w:hAnsi="仿宋" w:eastAsia="仿宋"/>
          <w:sz w:val="32"/>
          <w:szCs w:val="32"/>
        </w:rPr>
        <w:t>2022年仲达镇人民政</w:t>
      </w:r>
      <w:bookmarkStart w:id="1" w:name="_GoBack"/>
      <w:bookmarkEnd w:id="1"/>
      <w:r>
        <w:rPr>
          <w:rFonts w:hint="eastAsia" w:ascii="仿宋" w:hAnsi="仿宋" w:eastAsia="仿宋"/>
          <w:sz w:val="32"/>
          <w:szCs w:val="32"/>
        </w:rPr>
        <w:t>府无扶贫资金预算。</w:t>
      </w:r>
    </w:p>
    <w:p>
      <w:pPr>
        <w:ind w:firstLine="640" w:firstLineChars="200"/>
        <w:rPr>
          <w:rFonts w:ascii="楷体" w:hAnsi="楷体" w:eastAsia="楷体"/>
          <w:sz w:val="32"/>
          <w:szCs w:val="32"/>
        </w:rPr>
      </w:pPr>
      <w:r>
        <w:rPr>
          <w:rFonts w:hint="eastAsia" w:ascii="楷体" w:hAnsi="楷体" w:eastAsia="楷体"/>
          <w:sz w:val="32"/>
          <w:szCs w:val="32"/>
        </w:rPr>
        <w:t>（六）政府债务情况</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截止</w:t>
      </w:r>
      <w:r>
        <w:rPr>
          <w:rFonts w:hint="eastAsia" w:ascii="仿宋" w:hAnsi="仿宋" w:eastAsia="仿宋"/>
          <w:sz w:val="32"/>
          <w:szCs w:val="32"/>
          <w:lang w:val="en-US" w:eastAsia="zh-CN"/>
        </w:rPr>
        <w:t>2022年1月31日</w:t>
      </w:r>
      <w:r>
        <w:rPr>
          <w:rFonts w:hint="eastAsia" w:ascii="仿宋" w:hAnsi="仿宋" w:eastAsia="仿宋"/>
          <w:sz w:val="32"/>
          <w:szCs w:val="32"/>
        </w:rPr>
        <w:t xml:space="preserve">，仲达镇人民政府没有待偿还的债务、待回购股权投资和应付工程物资款。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p>
    <w:p>
      <w:pPr>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ind w:firstLine="640" w:firstLineChars="200"/>
        <w:jc w:val="center"/>
        <w:rPr>
          <w:rFonts w:ascii="方正小标宋简体" w:hAnsi="仿宋" w:eastAsia="方正小标宋简体"/>
          <w:sz w:val="32"/>
          <w:szCs w:val="32"/>
        </w:rPr>
      </w:pPr>
    </w:p>
    <w:p>
      <w:pPr>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w:t>
    </w:r>
    <w:r>
      <w:rPr>
        <w:rStyle w:val="7"/>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2961"/>
    <w:rsid w:val="00015A4C"/>
    <w:rsid w:val="00024D59"/>
    <w:rsid w:val="00041C59"/>
    <w:rsid w:val="00042CE0"/>
    <w:rsid w:val="00043AA8"/>
    <w:rsid w:val="00043E50"/>
    <w:rsid w:val="0004604D"/>
    <w:rsid w:val="00081B92"/>
    <w:rsid w:val="00086B54"/>
    <w:rsid w:val="00096F91"/>
    <w:rsid w:val="000A1AFA"/>
    <w:rsid w:val="000A6427"/>
    <w:rsid w:val="000B2163"/>
    <w:rsid w:val="000F293F"/>
    <w:rsid w:val="00105104"/>
    <w:rsid w:val="001162B6"/>
    <w:rsid w:val="00137481"/>
    <w:rsid w:val="00147110"/>
    <w:rsid w:val="00151C9B"/>
    <w:rsid w:val="00160D39"/>
    <w:rsid w:val="00174215"/>
    <w:rsid w:val="001805D1"/>
    <w:rsid w:val="001864B8"/>
    <w:rsid w:val="001A47B8"/>
    <w:rsid w:val="001A4AA4"/>
    <w:rsid w:val="001A57F0"/>
    <w:rsid w:val="001A6CD9"/>
    <w:rsid w:val="001B4F21"/>
    <w:rsid w:val="001C6F79"/>
    <w:rsid w:val="001E25E8"/>
    <w:rsid w:val="001E413D"/>
    <w:rsid w:val="001F5E8D"/>
    <w:rsid w:val="00211391"/>
    <w:rsid w:val="00213708"/>
    <w:rsid w:val="002228D7"/>
    <w:rsid w:val="00230405"/>
    <w:rsid w:val="0023516B"/>
    <w:rsid w:val="00241469"/>
    <w:rsid w:val="00242E94"/>
    <w:rsid w:val="00251068"/>
    <w:rsid w:val="00255927"/>
    <w:rsid w:val="00255CD4"/>
    <w:rsid w:val="00266E39"/>
    <w:rsid w:val="00285201"/>
    <w:rsid w:val="002B4B50"/>
    <w:rsid w:val="002E550F"/>
    <w:rsid w:val="0031342C"/>
    <w:rsid w:val="003139C9"/>
    <w:rsid w:val="00322979"/>
    <w:rsid w:val="00323C72"/>
    <w:rsid w:val="00343F94"/>
    <w:rsid w:val="003565FA"/>
    <w:rsid w:val="003646E6"/>
    <w:rsid w:val="00371B62"/>
    <w:rsid w:val="00371BC9"/>
    <w:rsid w:val="003A4455"/>
    <w:rsid w:val="003A4970"/>
    <w:rsid w:val="003C07B1"/>
    <w:rsid w:val="003E21A4"/>
    <w:rsid w:val="003E2D5B"/>
    <w:rsid w:val="0041387F"/>
    <w:rsid w:val="0042253D"/>
    <w:rsid w:val="004333BB"/>
    <w:rsid w:val="00441D86"/>
    <w:rsid w:val="004573CF"/>
    <w:rsid w:val="004633A0"/>
    <w:rsid w:val="004773FB"/>
    <w:rsid w:val="00480381"/>
    <w:rsid w:val="00490C1D"/>
    <w:rsid w:val="004970A2"/>
    <w:rsid w:val="004B70D0"/>
    <w:rsid w:val="004C433B"/>
    <w:rsid w:val="004C45A4"/>
    <w:rsid w:val="004D363A"/>
    <w:rsid w:val="004F0973"/>
    <w:rsid w:val="004F3721"/>
    <w:rsid w:val="00510F60"/>
    <w:rsid w:val="00512DED"/>
    <w:rsid w:val="005227B8"/>
    <w:rsid w:val="00542D4C"/>
    <w:rsid w:val="005472B4"/>
    <w:rsid w:val="00552117"/>
    <w:rsid w:val="005526AE"/>
    <w:rsid w:val="00556119"/>
    <w:rsid w:val="00562767"/>
    <w:rsid w:val="0056413E"/>
    <w:rsid w:val="00570F81"/>
    <w:rsid w:val="00572540"/>
    <w:rsid w:val="00576C78"/>
    <w:rsid w:val="00577343"/>
    <w:rsid w:val="00587E83"/>
    <w:rsid w:val="00593341"/>
    <w:rsid w:val="0059715A"/>
    <w:rsid w:val="005B264E"/>
    <w:rsid w:val="005B7595"/>
    <w:rsid w:val="005D584E"/>
    <w:rsid w:val="005E47C6"/>
    <w:rsid w:val="005E5236"/>
    <w:rsid w:val="005F2019"/>
    <w:rsid w:val="005F2417"/>
    <w:rsid w:val="005F2DA3"/>
    <w:rsid w:val="00607ADC"/>
    <w:rsid w:val="00611AA9"/>
    <w:rsid w:val="006144DB"/>
    <w:rsid w:val="006242E4"/>
    <w:rsid w:val="00630713"/>
    <w:rsid w:val="00640514"/>
    <w:rsid w:val="00641243"/>
    <w:rsid w:val="00643004"/>
    <w:rsid w:val="00653B9E"/>
    <w:rsid w:val="00662BED"/>
    <w:rsid w:val="0067255B"/>
    <w:rsid w:val="00691949"/>
    <w:rsid w:val="00693101"/>
    <w:rsid w:val="006A497D"/>
    <w:rsid w:val="006A7C65"/>
    <w:rsid w:val="006B41A1"/>
    <w:rsid w:val="006C4305"/>
    <w:rsid w:val="006D5592"/>
    <w:rsid w:val="00737A27"/>
    <w:rsid w:val="00746D77"/>
    <w:rsid w:val="007529D0"/>
    <w:rsid w:val="00753C16"/>
    <w:rsid w:val="007846D2"/>
    <w:rsid w:val="007A00E8"/>
    <w:rsid w:val="007A6ED2"/>
    <w:rsid w:val="007C5A03"/>
    <w:rsid w:val="008001B3"/>
    <w:rsid w:val="0080401E"/>
    <w:rsid w:val="00813A99"/>
    <w:rsid w:val="00824305"/>
    <w:rsid w:val="008314A5"/>
    <w:rsid w:val="00835E1D"/>
    <w:rsid w:val="00836804"/>
    <w:rsid w:val="00840460"/>
    <w:rsid w:val="008468ED"/>
    <w:rsid w:val="0085478E"/>
    <w:rsid w:val="00862408"/>
    <w:rsid w:val="0086465E"/>
    <w:rsid w:val="00864665"/>
    <w:rsid w:val="00867483"/>
    <w:rsid w:val="00871235"/>
    <w:rsid w:val="00875CA7"/>
    <w:rsid w:val="008770A2"/>
    <w:rsid w:val="00885072"/>
    <w:rsid w:val="00885FC2"/>
    <w:rsid w:val="00890723"/>
    <w:rsid w:val="0089630C"/>
    <w:rsid w:val="008A3852"/>
    <w:rsid w:val="008A6719"/>
    <w:rsid w:val="008C1F95"/>
    <w:rsid w:val="008D39A8"/>
    <w:rsid w:val="008E490F"/>
    <w:rsid w:val="008F0DB7"/>
    <w:rsid w:val="008F37FF"/>
    <w:rsid w:val="008F5CAA"/>
    <w:rsid w:val="009009D3"/>
    <w:rsid w:val="009317B0"/>
    <w:rsid w:val="0095324A"/>
    <w:rsid w:val="00953C23"/>
    <w:rsid w:val="0096127B"/>
    <w:rsid w:val="00993FFC"/>
    <w:rsid w:val="009B2113"/>
    <w:rsid w:val="009D0EC6"/>
    <w:rsid w:val="009D330A"/>
    <w:rsid w:val="009D58A7"/>
    <w:rsid w:val="00A04FAE"/>
    <w:rsid w:val="00A233F7"/>
    <w:rsid w:val="00A239B3"/>
    <w:rsid w:val="00A25D6E"/>
    <w:rsid w:val="00A262A5"/>
    <w:rsid w:val="00A3432E"/>
    <w:rsid w:val="00A42EB8"/>
    <w:rsid w:val="00A466C4"/>
    <w:rsid w:val="00A471F2"/>
    <w:rsid w:val="00A53E77"/>
    <w:rsid w:val="00A615F1"/>
    <w:rsid w:val="00A81865"/>
    <w:rsid w:val="00A825B5"/>
    <w:rsid w:val="00A83879"/>
    <w:rsid w:val="00A87279"/>
    <w:rsid w:val="00AB19C9"/>
    <w:rsid w:val="00AC1350"/>
    <w:rsid w:val="00AF77CE"/>
    <w:rsid w:val="00B007C8"/>
    <w:rsid w:val="00B471CB"/>
    <w:rsid w:val="00B60721"/>
    <w:rsid w:val="00B6522F"/>
    <w:rsid w:val="00B67A9E"/>
    <w:rsid w:val="00B74CCE"/>
    <w:rsid w:val="00B84681"/>
    <w:rsid w:val="00B92C71"/>
    <w:rsid w:val="00B96D8F"/>
    <w:rsid w:val="00BC5647"/>
    <w:rsid w:val="00BD2BDC"/>
    <w:rsid w:val="00BD58F0"/>
    <w:rsid w:val="00BE6B5B"/>
    <w:rsid w:val="00BE6DF3"/>
    <w:rsid w:val="00C05934"/>
    <w:rsid w:val="00C15680"/>
    <w:rsid w:val="00C2239E"/>
    <w:rsid w:val="00C51E09"/>
    <w:rsid w:val="00C56199"/>
    <w:rsid w:val="00C63BEE"/>
    <w:rsid w:val="00C76A23"/>
    <w:rsid w:val="00C77CA6"/>
    <w:rsid w:val="00CD29AE"/>
    <w:rsid w:val="00CD6E81"/>
    <w:rsid w:val="00CE472E"/>
    <w:rsid w:val="00CE7C4E"/>
    <w:rsid w:val="00CF4F30"/>
    <w:rsid w:val="00D22EF7"/>
    <w:rsid w:val="00D25868"/>
    <w:rsid w:val="00D632F1"/>
    <w:rsid w:val="00D81BCD"/>
    <w:rsid w:val="00D8669F"/>
    <w:rsid w:val="00DB0231"/>
    <w:rsid w:val="00DC0879"/>
    <w:rsid w:val="00E00886"/>
    <w:rsid w:val="00E03AF9"/>
    <w:rsid w:val="00E104B4"/>
    <w:rsid w:val="00E115D0"/>
    <w:rsid w:val="00E1211F"/>
    <w:rsid w:val="00E233E9"/>
    <w:rsid w:val="00E32EC0"/>
    <w:rsid w:val="00E34979"/>
    <w:rsid w:val="00E4103C"/>
    <w:rsid w:val="00E42C47"/>
    <w:rsid w:val="00E54B69"/>
    <w:rsid w:val="00E6642D"/>
    <w:rsid w:val="00E745C7"/>
    <w:rsid w:val="00E7569E"/>
    <w:rsid w:val="00E82B77"/>
    <w:rsid w:val="00E904F2"/>
    <w:rsid w:val="00EB5EFC"/>
    <w:rsid w:val="00EB7129"/>
    <w:rsid w:val="00EC3348"/>
    <w:rsid w:val="00EE0A42"/>
    <w:rsid w:val="00F00FDB"/>
    <w:rsid w:val="00F06045"/>
    <w:rsid w:val="00F07089"/>
    <w:rsid w:val="00F21E99"/>
    <w:rsid w:val="00F334CA"/>
    <w:rsid w:val="00F4454F"/>
    <w:rsid w:val="00F44823"/>
    <w:rsid w:val="00F50409"/>
    <w:rsid w:val="00F75676"/>
    <w:rsid w:val="00F96845"/>
    <w:rsid w:val="00FD0528"/>
    <w:rsid w:val="0578368C"/>
    <w:rsid w:val="1077775E"/>
    <w:rsid w:val="10B84C0B"/>
    <w:rsid w:val="21286B0E"/>
    <w:rsid w:val="2ADC45B2"/>
    <w:rsid w:val="3DD162BD"/>
    <w:rsid w:val="418956FF"/>
    <w:rsid w:val="4B176F3A"/>
    <w:rsid w:val="5DC36A31"/>
    <w:rsid w:val="5F585623"/>
    <w:rsid w:val="70CC3C76"/>
    <w:rsid w:val="74091D34"/>
    <w:rsid w:val="7B2723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table" w:styleId="9">
    <w:name w:val="Table Grid"/>
    <w:basedOn w:val="8"/>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 w:type="character" w:customStyle="1" w:styleId="13">
    <w:name w:val="日期 Char"/>
    <w:basedOn w:val="6"/>
    <w:link w:val="2"/>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Lenovo-PC</Company>
  <Pages>15</Pages>
  <Words>869</Words>
  <Characters>4958</Characters>
  <Lines>41</Lines>
  <Paragraphs>11</Paragraphs>
  <TotalTime>544</TotalTime>
  <ScaleCrop>false</ScaleCrop>
  <LinksUpToDate>false</LinksUpToDate>
  <CharactersWithSpaces>5816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2021-03-05T11:05:00Z</dcterms:created>
  <dc:creator>CN=预算处/OU=预算处/OU=西藏自治区财政厅/O=TIBET</dc:creator>
  <cp:lastModifiedBy>Administrator</cp:lastModifiedBy>
  <cp:lastPrinted>2022-02-16T08:31:00Z</cp:lastPrinted>
  <dcterms:modified xsi:type="dcterms:W3CDTF">2022-02-18T02:33:20Z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