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黑体" w:hAnsi="黑体" w:eastAsia="黑体"/>
          <w:b/>
          <w:bCs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52"/>
          <w:szCs w:val="52"/>
        </w:rPr>
        <w:t>朗县孜列寺管理委员会</w:t>
      </w:r>
    </w:p>
    <w:p>
      <w:pPr>
        <w:widowControl/>
        <w:jc w:val="center"/>
        <w:rPr>
          <w:color w:val="333333"/>
          <w:kern w:val="0"/>
          <w:szCs w:val="21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52"/>
          <w:szCs w:val="52"/>
        </w:rPr>
        <w:t>20</w:t>
      </w:r>
      <w:r>
        <w:rPr>
          <w:rFonts w:hint="eastAsia" w:ascii="黑体" w:hAnsi="黑体" w:eastAsia="黑体"/>
          <w:b/>
          <w:bCs/>
          <w:color w:val="333333"/>
          <w:kern w:val="0"/>
          <w:sz w:val="52"/>
          <w:szCs w:val="52"/>
          <w:lang w:val="en-US" w:eastAsia="zh-CN"/>
        </w:rPr>
        <w:t>21</w:t>
      </w:r>
      <w:r>
        <w:rPr>
          <w:rFonts w:hint="eastAsia" w:ascii="黑体" w:hAnsi="黑体" w:eastAsia="黑体"/>
          <w:b/>
          <w:bCs/>
          <w:color w:val="333333"/>
          <w:kern w:val="0"/>
          <w:sz w:val="52"/>
          <w:szCs w:val="52"/>
        </w:rPr>
        <w:t>年度部门决算</w:t>
      </w:r>
    </w:p>
    <w:p>
      <w:pPr>
        <w:widowControl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 </w:t>
      </w:r>
    </w:p>
    <w:p>
      <w:pPr>
        <w:widowControl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 </w:t>
      </w:r>
    </w:p>
    <w:p>
      <w:pPr>
        <w:widowControl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 </w:t>
      </w:r>
    </w:p>
    <w:p>
      <w:pPr>
        <w:widowControl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 </w:t>
      </w:r>
    </w:p>
    <w:p>
      <w:pPr>
        <w:widowControl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 </w:t>
      </w:r>
    </w:p>
    <w:p>
      <w:pPr>
        <w:widowControl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 </w:t>
      </w:r>
    </w:p>
    <w:p>
      <w:pPr>
        <w:widowControl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 </w:t>
      </w:r>
    </w:p>
    <w:p>
      <w:pPr>
        <w:widowControl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 </w:t>
      </w:r>
    </w:p>
    <w:p>
      <w:pPr>
        <w:widowControl/>
        <w:rPr>
          <w:color w:val="333333"/>
          <w:kern w:val="0"/>
          <w:szCs w:val="21"/>
        </w:rPr>
      </w:pPr>
    </w:p>
    <w:p>
      <w:pPr>
        <w:widowControl/>
        <w:rPr>
          <w:color w:val="333333"/>
          <w:kern w:val="0"/>
          <w:szCs w:val="21"/>
        </w:rPr>
      </w:pPr>
    </w:p>
    <w:p>
      <w:pPr>
        <w:widowControl/>
        <w:jc w:val="center"/>
        <w:rPr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 w:val="32"/>
          <w:szCs w:val="32"/>
          <w:u w:val="single"/>
        </w:rPr>
        <w:t>    20</w:t>
      </w:r>
      <w:r>
        <w:rPr>
          <w:rFonts w:hint="eastAsia" w:ascii="宋体" w:hAnsi="宋体"/>
          <w:color w:val="333333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宋体" w:hAnsi="宋体"/>
          <w:color w:val="333333"/>
          <w:kern w:val="0"/>
          <w:sz w:val="32"/>
          <w:szCs w:val="32"/>
          <w:u w:val="single"/>
        </w:rPr>
        <w:t>    </w:t>
      </w:r>
      <w:r>
        <w:rPr>
          <w:rFonts w:hint="eastAsia" w:ascii="宋体" w:hAnsi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/>
          <w:color w:val="333333"/>
          <w:kern w:val="0"/>
          <w:sz w:val="32"/>
          <w:szCs w:val="32"/>
          <w:u w:val="single"/>
        </w:rPr>
        <w:t>  </w:t>
      </w:r>
      <w:r>
        <w:rPr>
          <w:rFonts w:hint="eastAsia" w:ascii="宋体" w:hAnsi="宋体"/>
          <w:color w:val="333333"/>
          <w:kern w:val="0"/>
          <w:sz w:val="32"/>
          <w:szCs w:val="32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333333"/>
          <w:kern w:val="0"/>
          <w:sz w:val="32"/>
          <w:szCs w:val="32"/>
          <w:u w:val="single"/>
        </w:rPr>
        <w:t> </w:t>
      </w:r>
      <w:r>
        <w:rPr>
          <w:rFonts w:hint="eastAsia" w:ascii="宋体" w:hAnsi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/>
          <w:color w:val="333333"/>
          <w:kern w:val="0"/>
          <w:sz w:val="32"/>
          <w:szCs w:val="32"/>
          <w:u w:val="single"/>
        </w:rPr>
        <w:t>  </w:t>
      </w:r>
      <w:r>
        <w:rPr>
          <w:rFonts w:hint="eastAsia" w:ascii="宋体" w:hAnsi="宋体"/>
          <w:color w:val="333333"/>
          <w:kern w:val="0"/>
          <w:sz w:val="32"/>
          <w:szCs w:val="32"/>
          <w:u w:val="single"/>
          <w:lang w:val="en-US" w:eastAsia="zh-CN"/>
        </w:rPr>
        <w:t>28</w:t>
      </w:r>
      <w:r>
        <w:rPr>
          <w:rFonts w:hint="eastAsia" w:ascii="宋体" w:hAnsi="宋体"/>
          <w:color w:val="333333"/>
          <w:kern w:val="0"/>
          <w:sz w:val="32"/>
          <w:szCs w:val="32"/>
          <w:u w:val="single"/>
        </w:rPr>
        <w:t xml:space="preserve"> 日</w:t>
      </w:r>
    </w:p>
    <w:p>
      <w:pPr>
        <w:widowControl/>
        <w:rPr>
          <w:rFonts w:hint="eastAsia" w:ascii="宋体" w:hAnsi="宋体"/>
          <w:b/>
          <w:bCs/>
          <w:color w:val="333333"/>
          <w:kern w:val="0"/>
          <w:sz w:val="40"/>
          <w:szCs w:val="40"/>
        </w:rPr>
      </w:pPr>
      <w:r>
        <w:rPr>
          <w:color w:val="333333"/>
          <w:kern w:val="0"/>
          <w:szCs w:val="21"/>
        </w:rPr>
        <w:t> </w:t>
      </w:r>
    </w:p>
    <w:p>
      <w:pPr>
        <w:widowControl/>
        <w:spacing w:line="460" w:lineRule="atLeast"/>
        <w:jc w:val="center"/>
        <w:rPr>
          <w:color w:val="333333"/>
          <w:kern w:val="0"/>
          <w:szCs w:val="21"/>
        </w:rPr>
      </w:pPr>
      <w:r>
        <w:rPr>
          <w:rFonts w:hint="eastAsia" w:ascii="宋体" w:hAnsi="宋体"/>
          <w:b/>
          <w:bCs/>
          <w:color w:val="333333"/>
          <w:kern w:val="0"/>
          <w:sz w:val="40"/>
          <w:szCs w:val="40"/>
        </w:rPr>
        <w:t>目  录</w:t>
      </w: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朗县</w:t>
      </w:r>
      <w:r>
        <w:rPr>
          <w:rFonts w:hint="eastAsia" w:ascii="黑体" w:hAnsi="宋体" w:eastAsia="黑体"/>
          <w:sz w:val="32"/>
          <w:szCs w:val="32"/>
          <w:lang w:eastAsia="zh-CN"/>
        </w:rPr>
        <w:t>孜列寺管委会</w:t>
      </w:r>
      <w:r>
        <w:rPr>
          <w:rFonts w:hint="eastAsia" w:ascii="黑体" w:hAnsi="宋体" w:eastAsia="黑体"/>
          <w:sz w:val="32"/>
          <w:szCs w:val="32"/>
        </w:rPr>
        <w:t>概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一、部门决算单位构成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二、部门职责和机构设置</w:t>
      </w: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 朗县</w:t>
      </w:r>
      <w:r>
        <w:rPr>
          <w:rFonts w:hint="eastAsia" w:ascii="黑体" w:hAnsi="宋体" w:eastAsia="黑体"/>
          <w:sz w:val="32"/>
          <w:szCs w:val="32"/>
          <w:lang w:eastAsia="zh-CN"/>
        </w:rPr>
        <w:t>孜列寺管委会</w:t>
      </w:r>
      <w:r>
        <w:rPr>
          <w:rFonts w:hint="eastAsia"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/>
          <w:sz w:val="32"/>
          <w:szCs w:val="32"/>
        </w:rPr>
        <w:t>年度决算明细表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一、收支决算总表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二、收入决算总表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三、支出决算总表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四、财政拨款收支决算总表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五、一般公共预算财政拨款支出决算表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六、一般公共预算财政拨款基本支出决算表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七、一般公共预算相关经费支出决算表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八、政府性基金预算财政拨款收支决算表</w:t>
      </w: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 朗县</w:t>
      </w:r>
      <w:r>
        <w:rPr>
          <w:rFonts w:hint="eastAsia" w:ascii="黑体" w:hAnsi="宋体" w:eastAsia="黑体"/>
          <w:sz w:val="32"/>
          <w:szCs w:val="32"/>
          <w:lang w:eastAsia="zh-CN"/>
        </w:rPr>
        <w:t>孜列寺管委会</w:t>
      </w:r>
      <w:r>
        <w:rPr>
          <w:rFonts w:hint="eastAsia"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/>
          <w:sz w:val="32"/>
          <w:szCs w:val="32"/>
        </w:rPr>
        <w:t>年度决算情况说明</w:t>
      </w: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第四部分  名词解释</w:t>
      </w: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</w:p>
    <w:p>
      <w:pPr>
        <w:widowControl/>
        <w:spacing w:line="460" w:lineRule="atLeast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48"/>
          <w:szCs w:val="48"/>
        </w:rPr>
        <w:t>第一部分</w:t>
      </w:r>
    </w:p>
    <w:p>
      <w:pPr>
        <w:widowControl/>
        <w:spacing w:line="460" w:lineRule="atLeast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Cs w:val="21"/>
        </w:rPr>
        <w:t> </w:t>
      </w:r>
    </w:p>
    <w:p>
      <w:pPr>
        <w:widowControl/>
        <w:spacing w:line="460" w:lineRule="atLeast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48"/>
          <w:szCs w:val="48"/>
        </w:rPr>
        <w:t>朗县孜列寺管理委员会概况</w:t>
      </w:r>
    </w:p>
    <w:p>
      <w:pPr>
        <w:widowControl/>
        <w:spacing w:line="460" w:lineRule="atLeast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48"/>
          <w:szCs w:val="48"/>
        </w:rPr>
      </w:pPr>
    </w:p>
    <w:p>
      <w:pPr>
        <w:widowControl/>
        <w:ind w:firstLine="630"/>
        <w:rPr>
          <w:color w:val="333333"/>
          <w:kern w:val="0"/>
          <w:szCs w:val="21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一、部门决算单位构成</w:t>
      </w:r>
    </w:p>
    <w:p>
      <w:pPr>
        <w:widowControl/>
        <w:ind w:firstLine="640"/>
        <w:rPr>
          <w:color w:val="333333"/>
          <w:kern w:val="0"/>
          <w:szCs w:val="21"/>
        </w:rPr>
      </w:pP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纳入朗县孜列寺管理委员会20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21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年度部门决算孜列寺管理委员会部门。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二、</w:t>
      </w:r>
      <w:r>
        <w:rPr>
          <w:rFonts w:hint="eastAsia" w:ascii="黑体" w:hAnsi="宋体" w:eastAsia="黑体"/>
          <w:b/>
          <w:sz w:val="32"/>
          <w:szCs w:val="32"/>
        </w:rPr>
        <w:t>部门职责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和机构设置</w:t>
      </w:r>
    </w:p>
    <w:p>
      <w:pPr>
        <w:numPr>
          <w:ilvl w:val="0"/>
          <w:numId w:val="0"/>
        </w:numPr>
        <w:jc w:val="left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（一）部门职责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朗县孜列寺管理委员会（正科单位）是为朗县主要领导同志服务的县级办事机构，主要履行下列职责：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1、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贯彻执行党的宗教工作基本方针和国家管理宗教事务法律县委法规，依法履行寺庙僧尼的管理、服务、教育职能，促进寺庙和谐稳定；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2、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制定并组织实施寺庙的管理制度，维护寺庙佛事活动正常秩序；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3、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组织寺庙僧尼学习党的民族、宗教政策及国家有关法律、法规、规章，加强宗教和睦与民族团结宣传教育，维护祖国统一、加强民族团结、反对分裂，揭批十四世达赖祸藏乱教的罪行；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4、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组织实施僧尼的学习教育培训工作，积极开展和谐模范寺庙暨爱国守法先进僧尼创建评选活动，引导宗教与社会主义社会相适应；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 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5、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依法保护管理寺庙文物和资产；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6、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组织开展寺庙自营产业和社会公益慈善事业；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7、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维护寺庙治安秩序、消防安全和环境卫生；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8、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做好寺庙和僧尼的基本公共服务，协调解决寺庙僧尼的困难和问题，协调落实僧尼医保、低保、养老、人身意外伤害保险等工作；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9、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协调寺庙与社会其他方面的关系，维护寺庙和僧尼的合法权益；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10、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承办县委、政府及统战民宗等部门交办的其他事项。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二、部门机构设置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孜列寺管理委员会设置综合性办公室。</w:t>
      </w:r>
    </w:p>
    <w:p>
      <w:pPr>
        <w:widowControl/>
        <w:ind w:firstLine="803"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 </w:t>
      </w:r>
    </w:p>
    <w:p>
      <w:pPr>
        <w:widowControl/>
        <w:spacing w:line="460" w:lineRule="atLeast"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jc w:val="both"/>
        <w:rPr>
          <w:rFonts w:hint="eastAsia" w:ascii="黑体" w:hAnsi="黑体" w:eastAsia="黑体"/>
          <w:color w:val="333333"/>
          <w:kern w:val="0"/>
          <w:sz w:val="32"/>
          <w:szCs w:val="32"/>
        </w:rPr>
      </w:pPr>
    </w:p>
    <w:p>
      <w:pPr>
        <w:widowControl/>
        <w:spacing w:line="460" w:lineRule="atLeast"/>
        <w:jc w:val="both"/>
        <w:rPr>
          <w:rFonts w:hint="eastAsia" w:ascii="黑体" w:hAnsi="黑体" w:eastAsia="黑体"/>
          <w:color w:val="333333"/>
          <w:kern w:val="0"/>
          <w:sz w:val="32"/>
          <w:szCs w:val="32"/>
        </w:rPr>
      </w:pPr>
    </w:p>
    <w:p>
      <w:pPr>
        <w:widowControl/>
        <w:spacing w:line="460" w:lineRule="atLeast"/>
        <w:jc w:val="both"/>
        <w:rPr>
          <w:rFonts w:hint="eastAsia" w:ascii="黑体" w:hAnsi="黑体" w:eastAsia="黑体"/>
          <w:color w:val="333333"/>
          <w:kern w:val="0"/>
          <w:sz w:val="32"/>
          <w:szCs w:val="32"/>
        </w:rPr>
      </w:pPr>
    </w:p>
    <w:p>
      <w:pPr>
        <w:widowControl/>
        <w:spacing w:line="460" w:lineRule="atLeast"/>
        <w:jc w:val="both"/>
        <w:rPr>
          <w:rFonts w:hint="eastAsia" w:ascii="黑体" w:hAnsi="黑体" w:eastAsia="黑体"/>
          <w:color w:val="333333"/>
          <w:kern w:val="0"/>
          <w:sz w:val="32"/>
          <w:szCs w:val="32"/>
        </w:rPr>
      </w:pPr>
    </w:p>
    <w:p>
      <w:pPr>
        <w:widowControl/>
        <w:spacing w:line="460" w:lineRule="atLeast"/>
        <w:jc w:val="both"/>
        <w:rPr>
          <w:rFonts w:hint="eastAsia" w:ascii="黑体" w:hAnsi="黑体" w:eastAsia="黑体"/>
          <w:color w:val="333333"/>
          <w:kern w:val="0"/>
          <w:sz w:val="32"/>
          <w:szCs w:val="32"/>
        </w:rPr>
      </w:pPr>
    </w:p>
    <w:p>
      <w:pPr>
        <w:widowControl/>
        <w:spacing w:line="460" w:lineRule="atLeast"/>
        <w:jc w:val="center"/>
        <w:rPr>
          <w:rFonts w:hint="eastAsia" w:ascii="黑体" w:hAnsi="黑体" w:eastAsia="黑体" w:cs="黑体"/>
          <w:color w:val="333333"/>
          <w:kern w:val="0"/>
          <w:sz w:val="48"/>
          <w:szCs w:val="48"/>
        </w:rPr>
      </w:pPr>
      <w:r>
        <w:rPr>
          <w:rFonts w:hint="eastAsia" w:ascii="黑体" w:hAnsi="黑体" w:eastAsia="黑体" w:cs="黑体"/>
          <w:color w:val="333333"/>
          <w:kern w:val="0"/>
          <w:sz w:val="48"/>
          <w:szCs w:val="48"/>
        </w:rPr>
        <w:t>第二部分 </w:t>
      </w:r>
    </w:p>
    <w:p>
      <w:pPr>
        <w:widowControl/>
        <w:spacing w:line="460" w:lineRule="atLeast"/>
        <w:jc w:val="center"/>
        <w:rPr>
          <w:rFonts w:hint="eastAsia" w:ascii="黑体" w:hAnsi="黑体" w:eastAsia="黑体" w:cs="黑体"/>
          <w:color w:val="333333"/>
          <w:kern w:val="0"/>
          <w:sz w:val="22"/>
          <w:szCs w:val="22"/>
        </w:rPr>
      </w:pPr>
    </w:p>
    <w:p>
      <w:pPr>
        <w:widowControl/>
        <w:spacing w:line="460" w:lineRule="atLeast"/>
        <w:jc w:val="center"/>
        <w:rPr>
          <w:rFonts w:hint="eastAsia" w:ascii="黑体" w:hAnsi="黑体" w:eastAsia="黑体" w:cs="黑体"/>
          <w:color w:val="333333"/>
          <w:kern w:val="0"/>
          <w:sz w:val="48"/>
          <w:szCs w:val="48"/>
        </w:rPr>
      </w:pPr>
      <w:r>
        <w:rPr>
          <w:rFonts w:hint="eastAsia" w:ascii="黑体" w:hAnsi="黑体" w:eastAsia="黑体" w:cs="黑体"/>
          <w:color w:val="333333"/>
          <w:kern w:val="0"/>
          <w:sz w:val="48"/>
          <w:szCs w:val="48"/>
        </w:rPr>
        <w:t>孜列寺管理委员会20</w:t>
      </w:r>
      <w:r>
        <w:rPr>
          <w:rFonts w:hint="eastAsia" w:ascii="黑体" w:hAnsi="黑体" w:eastAsia="黑体" w:cs="黑体"/>
          <w:color w:val="333333"/>
          <w:kern w:val="0"/>
          <w:sz w:val="48"/>
          <w:szCs w:val="48"/>
          <w:lang w:val="en-US" w:eastAsia="zh-CN"/>
        </w:rPr>
        <w:t>21</w:t>
      </w:r>
      <w:r>
        <w:rPr>
          <w:rFonts w:hint="eastAsia" w:ascii="黑体" w:hAnsi="黑体" w:eastAsia="黑体" w:cs="黑体"/>
          <w:color w:val="333333"/>
          <w:kern w:val="0"/>
          <w:sz w:val="48"/>
          <w:szCs w:val="48"/>
        </w:rPr>
        <w:t>年度决算 </w:t>
      </w:r>
    </w:p>
    <w:p>
      <w:pPr>
        <w:widowControl/>
        <w:spacing w:line="460" w:lineRule="atLeast"/>
        <w:jc w:val="center"/>
        <w:rPr>
          <w:rFonts w:hint="eastAsia" w:ascii="黑体" w:hAnsi="黑体" w:eastAsia="黑体" w:cs="黑体"/>
          <w:color w:val="333333"/>
          <w:kern w:val="0"/>
          <w:sz w:val="48"/>
          <w:szCs w:val="48"/>
        </w:rPr>
      </w:pPr>
      <w:r>
        <w:rPr>
          <w:rFonts w:hint="eastAsia" w:ascii="黑体" w:hAnsi="黑体" w:eastAsia="黑体" w:cs="黑体"/>
          <w:color w:val="333333"/>
          <w:kern w:val="0"/>
          <w:sz w:val="48"/>
          <w:szCs w:val="48"/>
        </w:rPr>
        <w:t>明细表</w:t>
      </w:r>
    </w:p>
    <w:p>
      <w:pPr>
        <w:widowControl/>
        <w:spacing w:before="156" w:after="156"/>
        <w:jc w:val="center"/>
        <w:rPr>
          <w:rFonts w:hint="eastAsia"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（见附表1－8）</w:t>
      </w:r>
    </w:p>
    <w:p>
      <w:pPr>
        <w:widowControl/>
        <w:spacing w:before="156" w:after="156"/>
        <w:jc w:val="center"/>
        <w:rPr>
          <w:rFonts w:hint="eastAsia" w:ascii="黑体" w:hAnsi="黑体" w:eastAsia="黑体"/>
          <w:color w:val="333333"/>
          <w:kern w:val="0"/>
          <w:sz w:val="32"/>
          <w:szCs w:val="32"/>
        </w:rPr>
      </w:pPr>
    </w:p>
    <w:p>
      <w:pPr>
        <w:widowControl/>
        <w:spacing w:before="156" w:after="156"/>
        <w:jc w:val="center"/>
        <w:rPr>
          <w:rFonts w:hint="eastAsia" w:ascii="黑体" w:hAnsi="黑体" w:eastAsia="黑体"/>
          <w:color w:val="333333"/>
          <w:kern w:val="0"/>
          <w:sz w:val="32"/>
          <w:szCs w:val="32"/>
        </w:rPr>
      </w:pPr>
    </w:p>
    <w:p>
      <w:pPr>
        <w:widowControl/>
        <w:spacing w:before="156" w:after="156"/>
        <w:jc w:val="center"/>
        <w:rPr>
          <w:rFonts w:hint="eastAsia" w:ascii="黑体" w:hAnsi="黑体" w:eastAsia="黑体"/>
          <w:color w:val="333333"/>
          <w:kern w:val="0"/>
          <w:sz w:val="32"/>
          <w:szCs w:val="32"/>
        </w:rPr>
      </w:pPr>
    </w:p>
    <w:p>
      <w:pPr>
        <w:widowControl/>
        <w:spacing w:before="156" w:after="156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object>
          <v:shape id="_x0000_i1025" o:spt="75" type="#_x0000_t75" style="height:468.75pt;width:690.0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7">
            <o:LockedField>false</o:LockedField>
          </o:OLEObject>
        </w:object>
      </w:r>
    </w:p>
    <w:p>
      <w:pPr>
        <w:widowControl/>
        <w:spacing w:before="156" w:after="156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object>
          <v:shape id="_x0000_i1026" o:spt="75" type="#_x0000_t75" style="height:1390.75pt;width:684.6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9">
            <o:LockedField>false</o:LockedField>
          </o:OLEObject>
        </w:object>
      </w:r>
      <w:r>
        <w:object>
          <v:shape id="_x0000_i1027" o:spt="75" type="#_x0000_t75" style="height:344.75pt;width:711.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11">
            <o:LockedField>false</o:LockedField>
          </o:OLEObject>
        </w:object>
      </w:r>
    </w:p>
    <w:p>
      <w:pPr>
        <w:widowControl/>
        <w:spacing w:before="156" w:after="156"/>
        <w:jc w:val="center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object>
          <v:shape id="_x0000_i1028" o:spt="75" type="#_x0000_t75" style="height:462.55pt;width:703.6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xcel.Sheet.8" ShapeID="_x0000_i1028" DrawAspect="Content" ObjectID="_1468075728" r:id="rId13">
            <o:LockedField>false</o:LockedField>
          </o:OLEObject>
        </w:object>
      </w:r>
      <w:r>
        <w:object>
          <v:shape id="_x0000_i1029" o:spt="75" type="#_x0000_t75" style="height:382.35pt;width:609.6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xcel.Sheet.8" ShapeID="_x0000_i1029" DrawAspect="Content" ObjectID="_1468075729" r:id="rId15">
            <o:LockedField>false</o:LockedField>
          </o:OLEObject>
        </w:object>
      </w:r>
    </w:p>
    <w:p>
      <w:pPr>
        <w:widowControl/>
        <w:spacing w:before="156" w:after="156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object>
          <v:shape id="_x0000_i1030" o:spt="75" type="#_x0000_t75" style="height:368.75pt;width:712.1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xcel.Sheet.8" ShapeID="_x0000_i1030" DrawAspect="Content" ObjectID="_1468075730" r:id="rId17">
            <o:LockedField>false</o:LockedField>
          </o:OLEObject>
        </w:object>
      </w:r>
      <w:r>
        <w:object>
          <v:shape id="_x0000_i1031" o:spt="75" type="#_x0000_t75" style="height:171.85pt;width:672.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xcel.Sheet.8" ShapeID="_x0000_i1031" DrawAspect="Content" ObjectID="_1468075731" r:id="rId19">
            <o:LockedField>false</o:LockedField>
          </o:OLEObject>
        </w:object>
      </w:r>
    </w:p>
    <w:p>
      <w:pPr>
        <w:widowControl/>
        <w:spacing w:before="156" w:after="156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  <w:r>
        <w:object>
          <v:shape id="_x0000_i1032" o:spt="75" type="#_x0000_t75" style="height:203.6pt;width:677.7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xcel.Sheet.8" ShapeID="_x0000_i1032" DrawAspect="Content" ObjectID="_1468075732" r:id="rId21">
            <o:LockedField>false</o:LockedField>
          </o:OLEObject>
        </w:objec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both"/>
      </w:pPr>
    </w:p>
    <w:p>
      <w:pPr>
        <w:widowControl/>
        <w:jc w:val="center"/>
        <w:rPr>
          <w:rFonts w:hint="eastAsia"/>
          <w:sz w:val="40"/>
          <w:szCs w:val="48"/>
        </w:rPr>
      </w:pPr>
    </w:p>
    <w:p>
      <w:pPr>
        <w:widowControl/>
        <w:jc w:val="center"/>
        <w:rPr>
          <w:rFonts w:hint="eastAsia"/>
          <w:sz w:val="40"/>
          <w:szCs w:val="48"/>
        </w:rPr>
      </w:pPr>
    </w:p>
    <w:p>
      <w:pPr>
        <w:widowControl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  <w:r>
        <w:rPr>
          <w:rFonts w:hint="eastAsia" w:ascii="黑体" w:hAnsi="黑体" w:eastAsia="黑体"/>
          <w:color w:val="333333"/>
          <w:kern w:val="0"/>
          <w:sz w:val="48"/>
          <w:szCs w:val="48"/>
        </w:rPr>
        <w:t>第三部分</w:t>
      </w:r>
    </w:p>
    <w:p>
      <w:pPr>
        <w:widowControl/>
        <w:jc w:val="center"/>
        <w:rPr>
          <w:rFonts w:hint="eastAsia" w:ascii="黑体" w:hAnsi="黑体" w:eastAsia="黑体"/>
          <w:color w:val="333333"/>
          <w:kern w:val="0"/>
          <w:sz w:val="21"/>
          <w:szCs w:val="21"/>
        </w:rPr>
      </w:pPr>
    </w:p>
    <w:p>
      <w:pPr>
        <w:widowControl/>
        <w:jc w:val="center"/>
        <w:rPr>
          <w:color w:val="333333"/>
          <w:kern w:val="0"/>
          <w:sz w:val="48"/>
          <w:szCs w:val="48"/>
        </w:rPr>
      </w:pPr>
      <w:r>
        <w:rPr>
          <w:rFonts w:hint="eastAsia" w:ascii="黑体" w:hAnsi="黑体" w:eastAsia="黑体"/>
          <w:color w:val="333333"/>
          <w:kern w:val="0"/>
          <w:sz w:val="48"/>
          <w:szCs w:val="48"/>
        </w:rPr>
        <w:t>朗县孜列寺管理委员会20</w:t>
      </w:r>
      <w:r>
        <w:rPr>
          <w:rFonts w:hint="eastAsia" w:ascii="黑体" w:hAnsi="黑体" w:eastAsia="黑体"/>
          <w:color w:val="333333"/>
          <w:kern w:val="0"/>
          <w:sz w:val="48"/>
          <w:szCs w:val="48"/>
          <w:lang w:val="en-US" w:eastAsia="zh-CN"/>
        </w:rPr>
        <w:t>21</w:t>
      </w:r>
      <w:r>
        <w:rPr>
          <w:rFonts w:hint="eastAsia" w:ascii="黑体" w:hAnsi="黑体" w:eastAsia="黑体"/>
          <w:color w:val="333333"/>
          <w:kern w:val="0"/>
          <w:sz w:val="48"/>
          <w:szCs w:val="48"/>
        </w:rPr>
        <w:t>年度</w:t>
      </w:r>
    </w:p>
    <w:p>
      <w:pPr>
        <w:widowControl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  <w:r>
        <w:rPr>
          <w:rFonts w:hint="eastAsia" w:ascii="黑体" w:hAnsi="黑体" w:eastAsia="黑体"/>
          <w:color w:val="333333"/>
          <w:kern w:val="0"/>
          <w:sz w:val="48"/>
          <w:szCs w:val="48"/>
        </w:rPr>
        <w:t>决算情况说明</w:t>
      </w:r>
    </w:p>
    <w:p>
      <w:pPr>
        <w:widowControl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jc w:val="both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ind w:firstLine="640"/>
        <w:rPr>
          <w:rFonts w:hint="eastAsia" w:ascii="黑体" w:hAnsi="黑体" w:eastAsia="黑体"/>
          <w:color w:val="333333"/>
          <w:kern w:val="0"/>
          <w:sz w:val="32"/>
          <w:szCs w:val="32"/>
        </w:rPr>
      </w:pPr>
    </w:p>
    <w:p>
      <w:pPr>
        <w:widowControl/>
        <w:ind w:firstLine="640"/>
        <w:rPr>
          <w:rFonts w:hint="eastAsia" w:ascii="黑体" w:hAnsi="黑体" w:eastAsia="黑体"/>
          <w:color w:val="333333"/>
          <w:kern w:val="0"/>
          <w:sz w:val="32"/>
          <w:szCs w:val="32"/>
        </w:rPr>
      </w:pPr>
    </w:p>
    <w:p>
      <w:pPr>
        <w:rPr>
          <w:rFonts w:hint="eastAsia"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br w:type="page"/>
      </w:r>
    </w:p>
    <w:p>
      <w:pPr>
        <w:widowControl/>
        <w:ind w:firstLine="640"/>
        <w:rPr>
          <w:color w:val="333333"/>
          <w:kern w:val="0"/>
          <w:szCs w:val="21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一、20</w:t>
      </w:r>
      <w:r>
        <w:rPr>
          <w:rFonts w:hint="eastAsia" w:ascii="黑体" w:hAnsi="黑体" w:eastAsia="黑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年度一般公共预算收支总体情况说明</w:t>
      </w:r>
    </w:p>
    <w:p>
      <w:pPr>
        <w:spacing w:line="560" w:lineRule="atLeast"/>
        <w:ind w:firstLine="640" w:firstLineChars="200"/>
        <w:jc w:val="left"/>
        <w:rPr>
          <w:color w:val="333333"/>
          <w:kern w:val="0"/>
          <w:szCs w:val="21"/>
        </w:rPr>
      </w:pP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朗县孜列寺管理委员会20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21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年一般公共预算收入总计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173.57万元，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其中财政当年拨款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173.57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万元，年初结转和结余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3.72万元，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支出总计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173.57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万元，年末结转和结余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3.72万元，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与20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20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年相比，收入增加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41.3万元，提高23.79%，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支出增加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41.3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万元，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提高23.79%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。主要原因：主要是人员变化基本工资变化。</w:t>
      </w:r>
    </w:p>
    <w:p>
      <w:pPr>
        <w:widowControl/>
        <w:ind w:firstLine="627"/>
        <w:rPr>
          <w:color w:val="333333"/>
          <w:kern w:val="0"/>
          <w:szCs w:val="21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二、20</w:t>
      </w:r>
      <w:r>
        <w:rPr>
          <w:rFonts w:hint="eastAsia" w:ascii="黑体" w:hAnsi="黑体" w:eastAsia="黑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年度一般公共预算收入情况说明</w:t>
      </w:r>
    </w:p>
    <w:p>
      <w:pPr>
        <w:widowControl/>
        <w:ind w:firstLine="640"/>
        <w:rPr>
          <w:color w:val="333333"/>
          <w:kern w:val="0"/>
          <w:szCs w:val="21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朗县孜列寺管理委员会2021年财政拨款收入173.57万元，全部为财政拨款。</w:t>
      </w:r>
    </w:p>
    <w:p>
      <w:pPr>
        <w:widowControl/>
        <w:ind w:firstLine="640"/>
        <w:rPr>
          <w:color w:val="333333"/>
          <w:kern w:val="0"/>
          <w:szCs w:val="21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三、20</w:t>
      </w:r>
      <w:r>
        <w:rPr>
          <w:rFonts w:hint="eastAsia" w:ascii="黑体" w:hAnsi="黑体" w:eastAsia="黑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年度一般公共预算支出情况说明</w:t>
      </w:r>
    </w:p>
    <w:p>
      <w:pPr>
        <w:widowControl/>
        <w:ind w:firstLine="640"/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朗县孜列寺管理委员会2021年支出173.57万元，用于基本支出为173.57万元，占100%。其中：人员经费为156.25万元，占90.02%，日常公用经费为17.32万元，占9.98%。</w:t>
      </w:r>
    </w:p>
    <w:p>
      <w:pPr>
        <w:widowControl/>
        <w:ind w:firstLine="640"/>
        <w:rPr>
          <w:color w:val="333333"/>
          <w:kern w:val="0"/>
          <w:szCs w:val="21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四、20</w:t>
      </w:r>
      <w:r>
        <w:rPr>
          <w:rFonts w:hint="eastAsia" w:ascii="黑体" w:hAnsi="黑体" w:eastAsia="黑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年度一般公共预算财政拨款支出情况说明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（一）财政拨款支出决算总体情况：朗县孜列寺管理委员会2021年支出173.57万元。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（二）财政拨款支出决算结构情况：朗县孜列寺管理委员会2021年支出173.57万元，支出包括一般公共服务141.31万元，占81.41%；社会保障和就业支出12.78万元，占7.36%；卫生健康支出9.23万元，占5.32%，住房保障支出10.25万元，占5.91%。</w:t>
      </w:r>
    </w:p>
    <w:p>
      <w:pPr>
        <w:widowControl/>
        <w:ind w:firstLine="640"/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（三）财政拨款支出决算具体情况</w:t>
      </w:r>
    </w:p>
    <w:p>
      <w:pPr>
        <w:spacing w:line="560" w:lineRule="atLeast"/>
        <w:ind w:firstLine="640" w:firstLineChars="200"/>
        <w:jc w:val="left"/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1.一般公共服务支出（类）民族事务（款）行政运行（项）123.99万元。</w:t>
      </w:r>
    </w:p>
    <w:p>
      <w:pPr>
        <w:spacing w:line="560" w:lineRule="atLeast"/>
        <w:ind w:firstLine="640" w:firstLineChars="200"/>
        <w:jc w:val="left"/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2.一般公共服务支出（类）民族事务（款）一般行政管理事务（项）1.5万元。</w:t>
      </w:r>
    </w:p>
    <w:p>
      <w:pPr>
        <w:spacing w:line="560" w:lineRule="atLeast"/>
        <w:ind w:firstLine="640" w:firstLineChars="200"/>
        <w:jc w:val="left"/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社会保障和就业支出（类）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eastAsia="zh-CN"/>
        </w:rPr>
        <w:t>行政事业单位养老支出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（款）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eastAsia="zh-CN"/>
        </w:rPr>
        <w:t>机关事业单位基本养老保险缴费支出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（项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12.62万元。</w:t>
      </w:r>
    </w:p>
    <w:p>
      <w:pPr>
        <w:ind w:firstLine="640" w:firstLineChars="200"/>
        <w:rPr>
          <w:rFonts w:hint="eastAsia" w:ascii="方正仿宋简体" w:hAnsi="仿宋_GB2312" w:eastAsia="方正仿宋简体" w:cs="仿宋_GB2312"/>
          <w:kern w:val="0"/>
          <w:sz w:val="32"/>
          <w:szCs w:val="32"/>
          <w:lang w:eastAsia="zh-CN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社会保障和就业支出（类）财政对其他社会保险基金的补助（款）财政对工伤保险基金的补助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0.16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卫生健康支出（类）行政事业单位医疗（款）公务员医疗补助（项）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2.37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卫生健康支出（类）财政对基本医疗保险基金的补助（款）财政对职工基本医疗保险基金的补助（项）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6.86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万元。</w:t>
      </w:r>
    </w:p>
    <w:p>
      <w:pPr>
        <w:spacing w:line="560" w:lineRule="atLeast"/>
        <w:ind w:firstLine="640" w:firstLineChars="200"/>
        <w:jc w:val="left"/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住房保障支出（类）住房改革支出（款）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eastAsia="zh-CN"/>
        </w:rPr>
        <w:t>住房公积金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（项）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10.25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万元。</w:t>
      </w:r>
    </w:p>
    <w:p>
      <w:pPr>
        <w:rPr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五、20</w:t>
      </w: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年度“三公”经费预决算情况说明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朗县孜列寺管理委员会20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年“三公”经费情况表</w:t>
      </w:r>
    </w:p>
    <w:p>
      <w:pPr>
        <w:widowControl/>
        <w:spacing w:before="312" w:after="312"/>
        <w:jc w:val="center"/>
        <w:rPr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>                                            </w:t>
      </w: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color w:val="333333"/>
          <w:kern w:val="0"/>
          <w:sz w:val="28"/>
          <w:szCs w:val="28"/>
        </w:rPr>
        <w:t>  单位：万元</w:t>
      </w:r>
    </w:p>
    <w:tbl>
      <w:tblPr>
        <w:tblStyle w:val="8"/>
        <w:tblW w:w="103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5"/>
        <w:gridCol w:w="1995"/>
        <w:gridCol w:w="2026"/>
        <w:gridCol w:w="1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预算数</w:t>
            </w:r>
          </w:p>
        </w:tc>
        <w:tc>
          <w:tcPr>
            <w:tcW w:w="2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决算数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  <w:lang w:val="en-US" w:eastAsia="zh-CN"/>
              </w:rPr>
              <w:t>3.54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1.因公出国（境）费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2.公务接待费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  <w:lang w:val="en-US" w:eastAsia="zh-CN"/>
              </w:rPr>
              <w:t>2.4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3.公务用车经费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8"/>
                <w:szCs w:val="28"/>
                <w:lang w:val="en-US" w:eastAsia="zh-CN"/>
              </w:rPr>
              <w:t>3.6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  <w:lang w:val="en-US" w:eastAsia="zh-CN"/>
              </w:rPr>
              <w:t>3.54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其中：（1）公务用车运行维护费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8"/>
                <w:szCs w:val="28"/>
                <w:lang w:val="en-US" w:eastAsia="zh-CN"/>
              </w:rPr>
              <w:t>3.6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  <w:lang w:val="en-US" w:eastAsia="zh-CN"/>
              </w:rPr>
              <w:t>3.54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      （2）公务用车购置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　</w:t>
            </w:r>
          </w:p>
        </w:tc>
      </w:tr>
    </w:tbl>
    <w:p>
      <w:pPr>
        <w:ind w:firstLine="640" w:firstLineChars="200"/>
        <w:rPr>
          <w:rFonts w:hint="eastAsia"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20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年度一般公共预算财政拨款“三公”经费支出决算数为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3.54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万元，比本年度预算数（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万元）减少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2.46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万元，同比减少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41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%，减少的主要原因为严格贯彻落实中央八项规定精神，进一步压减公务接待费支出，减少公务用车费用；</w:t>
      </w:r>
    </w:p>
    <w:p>
      <w:pPr>
        <w:ind w:firstLine="640" w:firstLineChars="200"/>
        <w:rPr>
          <w:rFonts w:hint="eastAsia"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公务接待费方面：本年度共计支出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万元，比本年度预算数（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2.4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万元）减少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2.4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万元，同比减少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%，规范公务接待行为，减少开支；</w:t>
      </w:r>
    </w:p>
    <w:p>
      <w:pPr>
        <w:ind w:firstLine="640" w:firstLineChars="200"/>
        <w:rPr>
          <w:rFonts w:hint="eastAsia"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公务用车经费方面：本年度共计支出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3.54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万元（包含燃油费、车辆保险、修理费等），比本年度预算数（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3.6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万元）减少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0.06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万元，同比减少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val="en-US" w:eastAsia="zh-CN"/>
        </w:rPr>
        <w:t>1.6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%，无违规购车行为，定点维修，倡导驾驶员自己动手进行日常保养，减少车辆维修次数，严禁公车私用。</w:t>
      </w:r>
    </w:p>
    <w:p>
      <w:pPr>
        <w:ind w:firstLine="640" w:firstLineChars="200"/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因公出国（境）费方面：本年度无出国（境）学习考察情况，未产生费用。</w:t>
      </w:r>
    </w:p>
    <w:p>
      <w:pPr>
        <w:widowControl/>
        <w:ind w:firstLine="627"/>
        <w:rPr>
          <w:color w:val="333333"/>
          <w:kern w:val="0"/>
          <w:szCs w:val="21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六、20</w:t>
      </w:r>
      <w:r>
        <w:rPr>
          <w:rFonts w:hint="eastAsia" w:ascii="黑体" w:hAnsi="黑体" w:eastAsia="黑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年度机关运行情况说明</w:t>
      </w:r>
    </w:p>
    <w:p>
      <w:pPr>
        <w:spacing w:line="560" w:lineRule="atLeast"/>
        <w:ind w:firstLine="640" w:firstLineChars="200"/>
        <w:jc w:val="left"/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（一）20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年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eastAsia="zh-CN"/>
        </w:rPr>
        <w:t>孜列寺管委会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履行一般行政事业管理职能、维持机关运行，用一般公共预算安排的行政经费，合计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17.32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万元。</w:t>
      </w:r>
    </w:p>
    <w:p>
      <w:pPr>
        <w:spacing w:line="560" w:lineRule="atLeast"/>
        <w:ind w:firstLine="640" w:firstLineChars="200"/>
        <w:jc w:val="left"/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（二）机关运行经费预算的内容</w:t>
      </w:r>
    </w:p>
    <w:p>
      <w:pPr>
        <w:spacing w:line="560" w:lineRule="atLeast"/>
        <w:ind w:firstLine="640" w:firstLineChars="200"/>
        <w:jc w:val="left"/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行政经费由基本支出和一般行政支出两部分组成：</w:t>
      </w:r>
    </w:p>
    <w:p>
      <w:pPr>
        <w:spacing w:line="560" w:lineRule="atLeast"/>
        <w:ind w:firstLine="640" w:firstLineChars="200"/>
        <w:jc w:val="left"/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、基本支出，包括两部分：一部分是人员经费，具体包括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eastAsia="zh-CN"/>
        </w:rPr>
        <w:t>基本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工资、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eastAsia="zh-CN"/>
        </w:rPr>
        <w:t>机关事业单位基本养老保险缴费、职工基本医疗保险缴费、公务员医疗补助缴费、其他社会保障缴费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等；二是公用经费，具体包括办公费、电费、差旅费、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eastAsia="zh-CN"/>
        </w:rPr>
        <w:t>培训费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、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eastAsia="zh-CN"/>
        </w:rPr>
        <w:t>公务用车维护费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等。</w:t>
      </w:r>
    </w:p>
    <w:p>
      <w:pPr>
        <w:spacing w:line="560" w:lineRule="atLeast"/>
        <w:ind w:firstLine="640" w:firstLineChars="200"/>
        <w:jc w:val="left"/>
        <w:rPr>
          <w:color w:val="333333"/>
          <w:kern w:val="0"/>
          <w:szCs w:val="21"/>
        </w:rPr>
      </w:pP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、一般行政管理项目支出，包括招待费、会议费、购置费（包括设备、计算机等）、专用材料费、干部培训费、信息网络运行维护费等用于一般行政管理事务方面的项目支出。</w:t>
      </w:r>
    </w:p>
    <w:p>
      <w:pPr>
        <w:widowControl/>
        <w:ind w:firstLine="627"/>
        <w:rPr>
          <w:color w:val="333333"/>
          <w:kern w:val="0"/>
          <w:szCs w:val="21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七、政府采购情况说明</w:t>
      </w:r>
    </w:p>
    <w:p>
      <w:pPr>
        <w:widowControl/>
        <w:jc w:val="left"/>
        <w:rPr>
          <w:color w:val="333333"/>
          <w:kern w:val="0"/>
          <w:szCs w:val="21"/>
        </w:rPr>
      </w:pP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20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年孜列寺管理委员会无政府采购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。</w:t>
      </w:r>
    </w:p>
    <w:p>
      <w:pPr>
        <w:widowControl/>
        <w:ind w:firstLine="627"/>
        <w:rPr>
          <w:color w:val="333333"/>
          <w:kern w:val="0"/>
          <w:szCs w:val="21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八、国有资产占有使用情况</w:t>
      </w:r>
    </w:p>
    <w:p>
      <w:pPr>
        <w:widowControl/>
        <w:jc w:val="left"/>
        <w:rPr>
          <w:color w:val="333333"/>
          <w:kern w:val="0"/>
          <w:szCs w:val="21"/>
        </w:rPr>
      </w:pP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截至20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年12月31日，孜列寺管理委员会有一般公共车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辆，无大型设备。</w:t>
      </w:r>
    </w:p>
    <w:p>
      <w:pPr>
        <w:widowControl/>
        <w:numPr>
          <w:ilvl w:val="0"/>
          <w:numId w:val="1"/>
        </w:numPr>
        <w:ind w:firstLine="627"/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重点、重大项目评价结果等预算绩效情况说明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>1.2021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年孜列寺管理委员会没有重点、重大项目信息。</w:t>
      </w:r>
    </w:p>
    <w:p>
      <w:pPr>
        <w:widowControl/>
        <w:jc w:val="left"/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2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20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年孜列寺管理委员会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eastAsia="zh-CN"/>
        </w:rPr>
        <w:t>正在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开展绩效评价工作。</w:t>
      </w:r>
      <w:r>
        <w:rPr>
          <w:rFonts w:hint="eastAsia" w:ascii="方正仿宋简体" w:hAnsi="仿宋" w:eastAsia="方正仿宋简体" w:cs="仿宋"/>
          <w:sz w:val="32"/>
          <w:szCs w:val="32"/>
        </w:rPr>
        <w:t>　</w:t>
      </w:r>
    </w:p>
    <w:p>
      <w:pPr>
        <w:widowControl/>
        <w:spacing w:line="460" w:lineRule="atLeast"/>
        <w:ind w:firstLine="1920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ind w:firstLine="1920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ind w:firstLine="1920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ind w:firstLine="1920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ind w:firstLine="1920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ind w:firstLine="1920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kern w:val="0"/>
          <w:sz w:val="48"/>
          <w:szCs w:val="48"/>
        </w:rPr>
        <w:t>第四部分 名词解释</w:t>
      </w:r>
    </w:p>
    <w:p>
      <w:pPr>
        <w:widowControl/>
        <w:spacing w:line="460" w:lineRule="atLeast"/>
        <w:ind w:firstLine="1920"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ind w:firstLine="1920"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ind w:firstLine="1920"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ind w:firstLine="1920"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ind w:firstLine="1920"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ind w:firstLine="1920"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spacing w:line="460" w:lineRule="atLeast"/>
        <w:ind w:firstLine="1920"/>
        <w:jc w:val="center"/>
        <w:rPr>
          <w:rFonts w:hint="eastAsia" w:ascii="黑体" w:hAnsi="黑体" w:eastAsia="黑体"/>
          <w:color w:val="333333"/>
          <w:kern w:val="0"/>
          <w:sz w:val="48"/>
          <w:szCs w:val="48"/>
        </w:rPr>
      </w:pPr>
    </w:p>
    <w:p>
      <w:pPr>
        <w:widowControl/>
        <w:ind w:firstLine="640"/>
        <w:jc w:val="center"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 </w:t>
      </w:r>
    </w:p>
    <w:p>
      <w:pPr>
        <w:widowControl/>
        <w:jc w:val="left"/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一、财政拨款收入，指中央财政当年拨付的资金。</w:t>
      </w:r>
    </w:p>
    <w:p>
      <w:pPr>
        <w:widowControl/>
        <w:jc w:val="left"/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二、其他收入，指上述“财政拨款收入”以外的收入，主要是按规定动用的售房收入、存款利息收入等。</w:t>
      </w:r>
    </w:p>
    <w:p>
      <w:pPr>
        <w:widowControl/>
        <w:jc w:val="left"/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粗黑宋简体" w:eastAsia="方正仿宋简体" w:cs="宋体"/>
          <w:color w:val="000000"/>
          <w:kern w:val="0"/>
          <w:sz w:val="32"/>
          <w:szCs w:val="32"/>
        </w:rPr>
        <w:t>三、上年结转，指以前年度尚未完成、结转到本年度仍按原规定用途继续使用的资金。</w:t>
      </w:r>
    </w:p>
    <w:p>
      <w:pPr>
        <w:jc w:val="left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jc w:val="left"/>
        <w:rPr>
          <w:rFonts w:hint="eastAsia" w:ascii="方正仿宋简体" w:hAnsi="宋体" w:eastAsia="方正仿宋简体" w:cs="宋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</w:rPr>
      <w:t>8</w:t>
    </w:r>
    <w:r>
      <w:rPr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45E6"/>
    <w:multiLevelType w:val="singleLevel"/>
    <w:tmpl w:val="381845E6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5E8"/>
    <w:rsid w:val="00270A61"/>
    <w:rsid w:val="00332B74"/>
    <w:rsid w:val="003C0F9A"/>
    <w:rsid w:val="004A5983"/>
    <w:rsid w:val="005846FD"/>
    <w:rsid w:val="005C02A1"/>
    <w:rsid w:val="00615E52"/>
    <w:rsid w:val="00616B7D"/>
    <w:rsid w:val="006760A6"/>
    <w:rsid w:val="008B3DD2"/>
    <w:rsid w:val="00B34063"/>
    <w:rsid w:val="00D67A82"/>
    <w:rsid w:val="00D7761D"/>
    <w:rsid w:val="00E23922"/>
    <w:rsid w:val="00E30932"/>
    <w:rsid w:val="00E34BA9"/>
    <w:rsid w:val="00E52A7F"/>
    <w:rsid w:val="00ED5002"/>
    <w:rsid w:val="00EF2F10"/>
    <w:rsid w:val="03406155"/>
    <w:rsid w:val="05332CF5"/>
    <w:rsid w:val="062A4994"/>
    <w:rsid w:val="06E6601A"/>
    <w:rsid w:val="086A5685"/>
    <w:rsid w:val="0B425022"/>
    <w:rsid w:val="0B7F3AE5"/>
    <w:rsid w:val="0CDE5905"/>
    <w:rsid w:val="128873FE"/>
    <w:rsid w:val="12D60DFB"/>
    <w:rsid w:val="132C7A5E"/>
    <w:rsid w:val="13EA2A95"/>
    <w:rsid w:val="15B40955"/>
    <w:rsid w:val="16231002"/>
    <w:rsid w:val="1703589C"/>
    <w:rsid w:val="177112DD"/>
    <w:rsid w:val="17AB1B18"/>
    <w:rsid w:val="1A542E37"/>
    <w:rsid w:val="1B274EC4"/>
    <w:rsid w:val="1B8E0BA4"/>
    <w:rsid w:val="1C205163"/>
    <w:rsid w:val="1E1269F6"/>
    <w:rsid w:val="223553D0"/>
    <w:rsid w:val="25612F32"/>
    <w:rsid w:val="25D22916"/>
    <w:rsid w:val="25EA39E3"/>
    <w:rsid w:val="265A3BAC"/>
    <w:rsid w:val="27C4778E"/>
    <w:rsid w:val="2A64749E"/>
    <w:rsid w:val="2FE62009"/>
    <w:rsid w:val="316D7750"/>
    <w:rsid w:val="33467EC2"/>
    <w:rsid w:val="33C51396"/>
    <w:rsid w:val="36F24D8C"/>
    <w:rsid w:val="3C346F95"/>
    <w:rsid w:val="3D6F34C1"/>
    <w:rsid w:val="3DAD03C8"/>
    <w:rsid w:val="3E2C5074"/>
    <w:rsid w:val="3F0B0364"/>
    <w:rsid w:val="411A641C"/>
    <w:rsid w:val="43F70255"/>
    <w:rsid w:val="44670C94"/>
    <w:rsid w:val="45935C01"/>
    <w:rsid w:val="45EE473E"/>
    <w:rsid w:val="46D9026A"/>
    <w:rsid w:val="47B37183"/>
    <w:rsid w:val="4BCF4B42"/>
    <w:rsid w:val="4CCD22DB"/>
    <w:rsid w:val="4E0A1DFD"/>
    <w:rsid w:val="4F743518"/>
    <w:rsid w:val="517768EC"/>
    <w:rsid w:val="533A17EB"/>
    <w:rsid w:val="55856194"/>
    <w:rsid w:val="58534048"/>
    <w:rsid w:val="59160E69"/>
    <w:rsid w:val="5C6F4806"/>
    <w:rsid w:val="5D0F5382"/>
    <w:rsid w:val="5E387C4F"/>
    <w:rsid w:val="604648BD"/>
    <w:rsid w:val="66144252"/>
    <w:rsid w:val="6E3B2D6C"/>
    <w:rsid w:val="7091572D"/>
    <w:rsid w:val="70CD4EA3"/>
    <w:rsid w:val="73255DD9"/>
    <w:rsid w:val="7485547C"/>
    <w:rsid w:val="77406602"/>
    <w:rsid w:val="7DC33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333333"/>
      <w:u w:val="none"/>
      <w:shd w:val="clear" w:color="auto" w:fill="auto"/>
    </w:rPr>
  </w:style>
  <w:style w:type="character" w:styleId="12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8.emf"/><Relationship Id="rId21" Type="http://schemas.openxmlformats.org/officeDocument/2006/relationships/oleObject" Target="embeddings/oleObject8.bin"/><Relationship Id="rId20" Type="http://schemas.openxmlformats.org/officeDocument/2006/relationships/image" Target="media/image7.e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emf"/><Relationship Id="rId17" Type="http://schemas.openxmlformats.org/officeDocument/2006/relationships/oleObject" Target="embeddings/oleObject6.bin"/><Relationship Id="rId16" Type="http://schemas.openxmlformats.org/officeDocument/2006/relationships/image" Target="media/image5.emf"/><Relationship Id="rId15" Type="http://schemas.openxmlformats.org/officeDocument/2006/relationships/oleObject" Target="embeddings/oleObject5.bin"/><Relationship Id="rId14" Type="http://schemas.openxmlformats.org/officeDocument/2006/relationships/image" Target="media/image4.emf"/><Relationship Id="rId13" Type="http://schemas.openxmlformats.org/officeDocument/2006/relationships/oleObject" Target="embeddings/oleObject4.bin"/><Relationship Id="rId12" Type="http://schemas.openxmlformats.org/officeDocument/2006/relationships/image" Target="media/image3.emf"/><Relationship Id="rId11" Type="http://schemas.openxmlformats.org/officeDocument/2006/relationships/oleObject" Target="embeddings/oleObject3.bin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740</Words>
  <Characters>4224</Characters>
  <Lines>35</Lines>
  <Paragraphs>9</Paragraphs>
  <TotalTime>7</TotalTime>
  <ScaleCrop>false</ScaleCrop>
  <LinksUpToDate>false</LinksUpToDate>
  <CharactersWithSpaces>4955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2018-07-25T03:48:00Z</dcterms:created>
  <dc:creator>微软用户</dc:creator>
  <cp:lastModifiedBy>Administrator</cp:lastModifiedBy>
  <cp:lastPrinted>2022-09-30T05:01:00Z</cp:lastPrinted>
  <dcterms:modified xsi:type="dcterms:W3CDTF">2022-10-12T02:30:30Z</dcterms:modified>
  <dc:title>2013年度西藏自治区教育厅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