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sz w:val="52"/>
          <w:szCs w:val="52"/>
        </w:rPr>
      </w:pPr>
    </w:p>
    <w:p>
      <w:pPr>
        <w:jc w:val="center"/>
        <w:rPr>
          <w:rFonts w:hint="eastAsia" w:ascii="黑体" w:eastAsia="黑体"/>
          <w:b/>
          <w:color w:val="auto"/>
          <w:sz w:val="52"/>
          <w:szCs w:val="52"/>
        </w:rPr>
      </w:pPr>
    </w:p>
    <w:p>
      <w:pPr>
        <w:jc w:val="center"/>
        <w:rPr>
          <w:rFonts w:hint="eastAsia" w:ascii="黑体" w:eastAsia="黑体"/>
          <w:b/>
          <w:color w:val="auto"/>
          <w:sz w:val="52"/>
          <w:szCs w:val="52"/>
        </w:rPr>
      </w:pPr>
    </w:p>
    <w:p>
      <w:pPr>
        <w:jc w:val="center"/>
        <w:rPr>
          <w:rFonts w:hint="eastAsia" w:ascii="黑体" w:eastAsia="黑体"/>
          <w:b/>
          <w:color w:val="auto"/>
          <w:sz w:val="52"/>
          <w:szCs w:val="52"/>
        </w:rPr>
      </w:pPr>
      <w:r>
        <w:rPr>
          <w:rFonts w:hint="eastAsia" w:ascii="黑体" w:eastAsia="黑体"/>
          <w:b/>
          <w:color w:val="auto"/>
          <w:sz w:val="52"/>
          <w:szCs w:val="52"/>
        </w:rPr>
        <w:t>朗县自然资源局</w:t>
      </w:r>
      <w:r>
        <w:rPr>
          <w:rFonts w:hint="eastAsia" w:ascii="黑体" w:eastAsia="黑体"/>
          <w:b/>
          <w:color w:val="auto"/>
          <w:sz w:val="52"/>
          <w:szCs w:val="52"/>
          <w:lang w:eastAsia="zh-CN"/>
        </w:rPr>
        <w:t>2021</w:t>
      </w:r>
      <w:r>
        <w:rPr>
          <w:rFonts w:hint="eastAsia" w:ascii="黑体" w:eastAsia="黑体"/>
          <w:b/>
          <w:color w:val="auto"/>
          <w:sz w:val="52"/>
          <w:szCs w:val="52"/>
        </w:rPr>
        <w:t>年度</w:t>
      </w:r>
    </w:p>
    <w:p>
      <w:pPr>
        <w:spacing w:line="640" w:lineRule="exact"/>
        <w:jc w:val="center"/>
        <w:rPr>
          <w:rFonts w:hint="eastAsia" w:ascii="黑体" w:eastAsia="黑体"/>
          <w:b/>
          <w:color w:val="auto"/>
          <w:sz w:val="52"/>
          <w:szCs w:val="52"/>
        </w:rPr>
      </w:pPr>
      <w:r>
        <w:rPr>
          <w:rFonts w:hint="eastAsia" w:ascii="黑体" w:eastAsia="黑体"/>
          <w:b/>
          <w:color w:val="auto"/>
          <w:sz w:val="52"/>
          <w:szCs w:val="52"/>
        </w:rPr>
        <w:t>部门决算</w:t>
      </w:r>
    </w:p>
    <w:p>
      <w:pPr>
        <w:jc w:val="center"/>
        <w:rPr>
          <w:rFonts w:hint="eastAsia"/>
          <w:color w:val="auto"/>
          <w:sz w:val="44"/>
          <w:szCs w:val="44"/>
        </w:rPr>
      </w:pPr>
    </w:p>
    <w:p>
      <w:pPr>
        <w:rPr>
          <w:rFonts w:hint="eastAsia"/>
          <w:color w:val="auto"/>
          <w:sz w:val="44"/>
          <w:szCs w:val="44"/>
        </w:rPr>
      </w:pPr>
    </w:p>
    <w:p>
      <w:pPr>
        <w:rPr>
          <w:rFonts w:hint="eastAsia"/>
          <w:color w:val="auto"/>
          <w:sz w:val="44"/>
          <w:szCs w:val="44"/>
        </w:rPr>
      </w:pPr>
    </w:p>
    <w:p>
      <w:pPr>
        <w:jc w:val="center"/>
        <w:rPr>
          <w:rFonts w:hint="eastAsia" w:ascii="宋体" w:hAnsi="宋体" w:eastAsia="宋体" w:cs="宋体"/>
          <w:color w:val="auto"/>
          <w:sz w:val="32"/>
          <w:szCs w:val="32"/>
          <w:u w:val="single"/>
        </w:rPr>
      </w:pPr>
      <w:r>
        <w:rPr>
          <w:rFonts w:hint="eastAsia" w:ascii="宋体" w:hAnsi="宋体" w:eastAsia="宋体" w:cs="宋体"/>
          <w:color w:val="auto"/>
          <w:sz w:val="32"/>
          <w:szCs w:val="32"/>
          <w:u w:val="single"/>
        </w:rPr>
        <w:t>20</w:t>
      </w:r>
      <w:r>
        <w:rPr>
          <w:rFonts w:hint="eastAsia" w:ascii="宋体" w:hAnsi="宋体" w:eastAsia="宋体" w:cs="宋体"/>
          <w:color w:val="auto"/>
          <w:sz w:val="32"/>
          <w:szCs w:val="32"/>
          <w:u w:val="single"/>
          <w:lang w:val="en-US" w:eastAsia="zh-CN"/>
        </w:rPr>
        <w:t>22</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u w:val="single"/>
          <w:lang w:val="en-US" w:eastAsia="zh-CN"/>
        </w:rPr>
        <w:t>9</w:t>
      </w:r>
      <w:r>
        <w:rPr>
          <w:rFonts w:hint="eastAsia" w:ascii="宋体" w:hAnsi="宋体" w:eastAsia="宋体" w:cs="宋体"/>
          <w:color w:val="auto"/>
          <w:sz w:val="32"/>
          <w:szCs w:val="32"/>
        </w:rPr>
        <w:t xml:space="preserve">月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2</w:t>
      </w:r>
      <w:r>
        <w:rPr>
          <w:rFonts w:hint="eastAsia" w:ascii="宋体" w:hAnsi="宋体" w:cs="宋体"/>
          <w:color w:val="auto"/>
          <w:sz w:val="32"/>
          <w:szCs w:val="32"/>
          <w:u w:val="single"/>
          <w:lang w:val="en-US" w:eastAsia="zh-CN"/>
        </w:rPr>
        <w:t>9</w:t>
      </w:r>
      <w:r>
        <w:rPr>
          <w:rFonts w:hint="eastAsia" w:ascii="宋体" w:hAnsi="宋体" w:eastAsia="宋体" w:cs="宋体"/>
          <w:color w:val="auto"/>
          <w:sz w:val="32"/>
          <w:szCs w:val="32"/>
          <w:u w:val="single"/>
        </w:rPr>
        <w:t>日</w:t>
      </w:r>
    </w:p>
    <w:p>
      <w:pPr>
        <w:spacing w:line="460" w:lineRule="exact"/>
        <w:jc w:val="right"/>
        <w:rPr>
          <w:rFonts w:hint="eastAsia" w:ascii="宋体" w:hAnsi="宋体" w:eastAsia="宋体" w:cs="宋体"/>
          <w:b/>
          <w:color w:val="auto"/>
          <w:sz w:val="40"/>
          <w:szCs w:val="40"/>
          <w:lang w:val="en-US" w:eastAsia="zh-CN"/>
        </w:rPr>
      </w:pPr>
      <w:r>
        <w:rPr>
          <w:rFonts w:hint="eastAsia" w:ascii="宋体" w:hAnsi="宋体" w:eastAsia="宋体" w:cs="宋体"/>
          <w:b/>
          <w:color w:val="auto"/>
          <w:sz w:val="40"/>
          <w:szCs w:val="40"/>
          <w:lang w:val="en-US" w:eastAsia="zh-CN"/>
        </w:rPr>
        <w:t xml:space="preserve">       </w:t>
      </w:r>
    </w:p>
    <w:p>
      <w:pPr>
        <w:spacing w:line="460" w:lineRule="exact"/>
        <w:jc w:val="both"/>
        <w:rPr>
          <w:rFonts w:hint="eastAsia" w:ascii="宋体" w:hAnsi="宋体" w:eastAsia="宋体" w:cs="宋体"/>
          <w:b/>
          <w:color w:val="auto"/>
          <w:sz w:val="40"/>
          <w:szCs w:val="40"/>
          <w:lang w:val="en-US" w:eastAsia="zh-CN"/>
        </w:rPr>
      </w:pPr>
    </w:p>
    <w:p>
      <w:pPr>
        <w:spacing w:line="460" w:lineRule="exact"/>
        <w:jc w:val="both"/>
        <w:rPr>
          <w:rFonts w:hint="eastAsia" w:ascii="宋体" w:hAnsi="宋体" w:eastAsia="宋体" w:cs="宋体"/>
          <w:b/>
          <w:color w:val="auto"/>
          <w:sz w:val="40"/>
          <w:szCs w:val="40"/>
          <w:lang w:val="en-US" w:eastAsia="zh-CN"/>
        </w:rPr>
      </w:pPr>
    </w:p>
    <w:p>
      <w:pPr>
        <w:spacing w:line="460" w:lineRule="exact"/>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目  录</w:t>
      </w:r>
    </w:p>
    <w:p>
      <w:pPr>
        <w:spacing w:line="460" w:lineRule="exact"/>
        <w:rPr>
          <w:rFonts w:hint="eastAsia" w:ascii="仿宋" w:hAnsi="仿宋" w:eastAsia="仿宋"/>
          <w:b/>
          <w:color w:val="auto"/>
          <w:sz w:val="40"/>
          <w:szCs w:val="40"/>
        </w:rPr>
      </w:pPr>
    </w:p>
    <w:p>
      <w:pPr>
        <w:spacing w:before="312" w:beforeLines="100" w:after="312" w:afterLines="100" w:line="460" w:lineRule="exact"/>
        <w:rPr>
          <w:rFonts w:hint="eastAsia" w:ascii="黑体" w:hAnsi="宋体" w:eastAsia="黑体"/>
          <w:sz w:val="32"/>
          <w:szCs w:val="32"/>
        </w:rPr>
      </w:pPr>
      <w:r>
        <w:rPr>
          <w:rFonts w:hint="default" w:ascii="黑体" w:hAnsi="宋体" w:eastAsia="黑体"/>
          <w:sz w:val="32"/>
          <w:szCs w:val="32"/>
        </w:rPr>
        <w:t>第一部分  朗县自然资源局概况</w:t>
      </w:r>
    </w:p>
    <w:p>
      <w:pPr>
        <w:spacing w:before="312" w:beforeLines="100" w:after="312" w:afterLines="100" w:line="460" w:lineRule="exact"/>
        <w:rPr>
          <w:rFonts w:hint="eastAsia" w:ascii="仿宋" w:hAnsi="仿宋" w:eastAsia="仿宋"/>
          <w:color w:val="auto"/>
          <w:sz w:val="32"/>
          <w:szCs w:val="32"/>
        </w:rPr>
      </w:pPr>
      <w:r>
        <w:rPr>
          <w:rFonts w:hint="eastAsia" w:ascii="仿宋" w:hAnsi="仿宋" w:eastAsia="仿宋"/>
          <w:color w:val="auto"/>
          <w:sz w:val="32"/>
          <w:szCs w:val="32"/>
        </w:rPr>
        <w:t>一、部门决算单位构成</w:t>
      </w:r>
    </w:p>
    <w:p>
      <w:pPr>
        <w:spacing w:before="312" w:beforeLines="100" w:after="312" w:afterLines="100" w:line="460" w:lineRule="exact"/>
        <w:rPr>
          <w:rFonts w:hint="eastAsia" w:ascii="仿宋" w:hAnsi="仿宋" w:eastAsia="仿宋"/>
          <w:color w:val="auto"/>
          <w:sz w:val="32"/>
          <w:szCs w:val="32"/>
        </w:rPr>
      </w:pPr>
      <w:r>
        <w:rPr>
          <w:rFonts w:hint="eastAsia" w:ascii="仿宋" w:hAnsi="仿宋" w:eastAsia="仿宋"/>
          <w:color w:val="auto"/>
          <w:sz w:val="32"/>
          <w:szCs w:val="32"/>
        </w:rPr>
        <w:t>二、部门职责和机构设置</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第二部分 朗县自然资源局</w:t>
      </w:r>
      <w:r>
        <w:rPr>
          <w:rFonts w:hint="eastAsia" w:ascii="黑体" w:hAnsi="宋体" w:eastAsia="黑体"/>
          <w:sz w:val="32"/>
          <w:szCs w:val="32"/>
          <w:lang w:eastAsia="zh-CN"/>
        </w:rPr>
        <w:t>2021</w:t>
      </w:r>
      <w:r>
        <w:rPr>
          <w:rFonts w:hint="eastAsia" w:ascii="黑体" w:hAnsi="宋体" w:eastAsia="黑体"/>
          <w:sz w:val="32"/>
          <w:szCs w:val="32"/>
        </w:rPr>
        <w:t>年度部门决算明细表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一、收</w:t>
      </w:r>
      <w:r>
        <w:rPr>
          <w:rFonts w:hint="eastAsia" w:ascii="方正楷体简体" w:hAnsi="宋体" w:eastAsia="方正楷体简体"/>
          <w:sz w:val="32"/>
          <w:szCs w:val="32"/>
          <w:lang w:eastAsia="zh-CN"/>
        </w:rPr>
        <w:t>入</w:t>
      </w:r>
      <w:r>
        <w:rPr>
          <w:rFonts w:hint="eastAsia" w:ascii="方正楷体简体" w:hAnsi="宋体" w:eastAsia="方正楷体简体"/>
          <w:sz w:val="32"/>
          <w:szCs w:val="32"/>
        </w:rPr>
        <w:t>支</w:t>
      </w:r>
      <w:r>
        <w:rPr>
          <w:rFonts w:hint="eastAsia" w:ascii="方正楷体简体" w:hAnsi="宋体" w:eastAsia="方正楷体简体"/>
          <w:sz w:val="32"/>
          <w:szCs w:val="32"/>
          <w:lang w:eastAsia="zh-CN"/>
        </w:rPr>
        <w:t>出</w:t>
      </w:r>
      <w:r>
        <w:rPr>
          <w:rFonts w:hint="eastAsia" w:ascii="方正楷体简体" w:hAnsi="宋体" w:eastAsia="方正楷体简体"/>
          <w:sz w:val="32"/>
          <w:szCs w:val="32"/>
        </w:rPr>
        <w:t>决算总表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二、收入决算总表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三、支出决算总表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四、财政拨款收</w:t>
      </w:r>
      <w:r>
        <w:rPr>
          <w:rFonts w:hint="eastAsia" w:ascii="方正楷体简体" w:hAnsi="宋体" w:eastAsia="方正楷体简体"/>
          <w:sz w:val="32"/>
          <w:szCs w:val="32"/>
          <w:lang w:eastAsia="zh-CN"/>
        </w:rPr>
        <w:t>入</w:t>
      </w:r>
      <w:r>
        <w:rPr>
          <w:rFonts w:hint="eastAsia" w:ascii="方正楷体简体" w:hAnsi="宋体" w:eastAsia="方正楷体简体"/>
          <w:sz w:val="32"/>
          <w:szCs w:val="32"/>
        </w:rPr>
        <w:t>支</w:t>
      </w:r>
      <w:r>
        <w:rPr>
          <w:rFonts w:hint="eastAsia" w:ascii="方正楷体简体" w:hAnsi="宋体" w:eastAsia="方正楷体简体"/>
          <w:sz w:val="32"/>
          <w:szCs w:val="32"/>
          <w:lang w:eastAsia="zh-CN"/>
        </w:rPr>
        <w:t>出</w:t>
      </w:r>
      <w:r>
        <w:rPr>
          <w:rFonts w:hint="eastAsia" w:ascii="方正楷体简体" w:hAnsi="宋体" w:eastAsia="方正楷体简体"/>
          <w:sz w:val="32"/>
          <w:szCs w:val="32"/>
        </w:rPr>
        <w:t>决算总表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五、一般公共预算财政拨款支出决算表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六、一般公共预算财政拨款基本支出决算表</w:t>
      </w:r>
      <w:r>
        <w:rPr>
          <w:rFonts w:hint="eastAsia" w:ascii="方正楷体简体" w:hAnsi="宋体" w:eastAsia="方正楷体简体"/>
          <w:sz w:val="32"/>
          <w:szCs w:val="32"/>
          <w:lang w:val="en-US" w:eastAsia="zh-CN"/>
        </w:rPr>
        <w:t xml:space="preserve"> </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rPr>
        <w:t>七、</w:t>
      </w:r>
      <w:r>
        <w:rPr>
          <w:rFonts w:hint="eastAsia" w:ascii="方正楷体简体" w:hAnsi="宋体" w:eastAsia="方正楷体简体"/>
          <w:sz w:val="32"/>
          <w:szCs w:val="32"/>
          <w:lang w:eastAsia="zh-CN"/>
        </w:rPr>
        <w:t>一般公共预算财政拨款“三公”经费支出决算表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八、政府性基金预算财政拨款收</w:t>
      </w:r>
      <w:r>
        <w:rPr>
          <w:rFonts w:hint="eastAsia" w:ascii="方正楷体简体" w:hAnsi="宋体" w:eastAsia="方正楷体简体"/>
          <w:sz w:val="32"/>
          <w:szCs w:val="32"/>
          <w:lang w:eastAsia="zh-CN"/>
        </w:rPr>
        <w:t>入</w:t>
      </w:r>
      <w:r>
        <w:rPr>
          <w:rFonts w:hint="eastAsia" w:ascii="方正楷体简体" w:hAnsi="宋体" w:eastAsia="方正楷体简体"/>
          <w:sz w:val="32"/>
          <w:szCs w:val="32"/>
        </w:rPr>
        <w:t>支</w:t>
      </w:r>
      <w:r>
        <w:rPr>
          <w:rFonts w:hint="eastAsia" w:ascii="方正楷体简体" w:hAnsi="宋体" w:eastAsia="方正楷体简体"/>
          <w:sz w:val="32"/>
          <w:szCs w:val="32"/>
          <w:lang w:eastAsia="zh-CN"/>
        </w:rPr>
        <w:t>出</w:t>
      </w:r>
      <w:r>
        <w:rPr>
          <w:rFonts w:hint="eastAsia" w:ascii="方正楷体简体" w:hAnsi="宋体" w:eastAsia="方正楷体简体"/>
          <w:sz w:val="32"/>
          <w:szCs w:val="32"/>
        </w:rPr>
        <w:t>决算表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第三部分 朗县自然资源局</w:t>
      </w:r>
      <w:r>
        <w:rPr>
          <w:rFonts w:hint="eastAsia" w:ascii="黑体" w:hAnsi="宋体" w:eastAsia="黑体"/>
          <w:sz w:val="32"/>
          <w:szCs w:val="32"/>
          <w:lang w:eastAsia="zh-CN"/>
        </w:rPr>
        <w:t>2021</w:t>
      </w:r>
      <w:r>
        <w:rPr>
          <w:rFonts w:hint="eastAsia" w:ascii="黑体" w:hAnsi="宋体" w:eastAsia="黑体"/>
          <w:sz w:val="32"/>
          <w:szCs w:val="32"/>
        </w:rPr>
        <w:t>年度部门决算情况说明</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第四部分  名词解释</w:t>
      </w:r>
    </w:p>
    <w:p>
      <w:pPr>
        <w:spacing w:line="460" w:lineRule="exact"/>
        <w:jc w:val="center"/>
        <w:rPr>
          <w:rFonts w:hint="eastAsia" w:ascii="仿宋" w:hAnsi="仿宋" w:eastAsia="仿宋"/>
          <w:b/>
          <w:color w:val="auto"/>
          <w:sz w:val="40"/>
          <w:szCs w:val="40"/>
        </w:rPr>
      </w:pPr>
    </w:p>
    <w:p>
      <w:pPr>
        <w:spacing w:line="460" w:lineRule="exact"/>
        <w:rPr>
          <w:rFonts w:hint="eastAsia" w:ascii="仿宋" w:hAnsi="仿宋" w:eastAsia="仿宋"/>
          <w:color w:val="auto"/>
          <w:sz w:val="48"/>
          <w:szCs w:val="48"/>
        </w:rPr>
      </w:pPr>
    </w:p>
    <w:p/>
    <w:p>
      <w:pPr>
        <w:pStyle w:val="2"/>
      </w:pPr>
    </w:p>
    <w:p>
      <w:pPr>
        <w:pStyle w:val="2"/>
      </w:pPr>
    </w:p>
    <w:p/>
    <w:p>
      <w:pPr>
        <w:spacing w:line="460" w:lineRule="exact"/>
        <w:jc w:val="center"/>
        <w:rPr>
          <w:rFonts w:hint="eastAsia" w:ascii="黑体" w:hAnsi="宋体" w:eastAsia="黑体"/>
          <w:color w:val="auto"/>
          <w:sz w:val="48"/>
          <w:szCs w:val="48"/>
        </w:rPr>
      </w:pPr>
    </w:p>
    <w:p>
      <w:pPr>
        <w:spacing w:line="460" w:lineRule="exact"/>
        <w:jc w:val="center"/>
        <w:rPr>
          <w:rFonts w:hint="eastAsia" w:ascii="黑体" w:hAnsi="宋体" w:eastAsia="黑体"/>
          <w:color w:val="auto"/>
          <w:sz w:val="48"/>
          <w:szCs w:val="48"/>
        </w:rPr>
      </w:pPr>
    </w:p>
    <w:p>
      <w:pPr>
        <w:spacing w:line="460" w:lineRule="exact"/>
        <w:jc w:val="center"/>
        <w:rPr>
          <w:rFonts w:hint="eastAsia" w:ascii="黑体" w:hAnsi="宋体" w:eastAsia="黑体"/>
          <w:color w:val="auto"/>
          <w:sz w:val="48"/>
          <w:szCs w:val="48"/>
        </w:rPr>
      </w:pPr>
    </w:p>
    <w:p>
      <w:pPr>
        <w:spacing w:line="460" w:lineRule="exact"/>
        <w:jc w:val="center"/>
        <w:rPr>
          <w:rFonts w:hint="eastAsia" w:ascii="黑体" w:hAnsi="宋体" w:eastAsia="黑体"/>
          <w:color w:val="auto"/>
          <w:sz w:val="48"/>
          <w:szCs w:val="48"/>
        </w:rPr>
      </w:pPr>
    </w:p>
    <w:p>
      <w:pPr>
        <w:spacing w:line="460" w:lineRule="exact"/>
        <w:jc w:val="center"/>
        <w:rPr>
          <w:rFonts w:hint="eastAsia" w:ascii="黑体" w:hAnsi="宋体" w:eastAsia="黑体"/>
          <w:color w:val="auto"/>
          <w:sz w:val="48"/>
          <w:szCs w:val="48"/>
        </w:rPr>
      </w:pPr>
    </w:p>
    <w:p>
      <w:pPr>
        <w:spacing w:line="460" w:lineRule="exact"/>
        <w:jc w:val="center"/>
        <w:rPr>
          <w:rFonts w:hint="eastAsia" w:ascii="黑体" w:hAnsi="宋体" w:eastAsia="黑体"/>
          <w:color w:val="auto"/>
          <w:sz w:val="48"/>
          <w:szCs w:val="48"/>
        </w:rPr>
      </w:pPr>
      <w:r>
        <w:rPr>
          <w:rFonts w:hint="eastAsia" w:ascii="黑体" w:hAnsi="宋体" w:eastAsia="黑体"/>
          <w:color w:val="auto"/>
          <w:sz w:val="48"/>
          <w:szCs w:val="48"/>
        </w:rPr>
        <w:t>第一部分</w:t>
      </w:r>
    </w:p>
    <w:p>
      <w:pPr>
        <w:spacing w:line="460" w:lineRule="exact"/>
        <w:jc w:val="center"/>
        <w:rPr>
          <w:rFonts w:hint="eastAsia" w:ascii="黑体" w:hAnsi="宋体" w:eastAsia="黑体"/>
          <w:color w:val="auto"/>
          <w:sz w:val="48"/>
          <w:szCs w:val="48"/>
        </w:rPr>
      </w:pPr>
    </w:p>
    <w:p>
      <w:pPr>
        <w:spacing w:line="460" w:lineRule="exact"/>
        <w:jc w:val="center"/>
        <w:rPr>
          <w:rFonts w:hint="eastAsia"/>
          <w:color w:val="auto"/>
          <w:sz w:val="44"/>
          <w:szCs w:val="44"/>
        </w:rPr>
      </w:pPr>
      <w:r>
        <w:rPr>
          <w:rFonts w:hint="eastAsia" w:ascii="黑体" w:hAnsi="宋体" w:eastAsia="黑体"/>
          <w:color w:val="auto"/>
          <w:sz w:val="48"/>
          <w:szCs w:val="48"/>
        </w:rPr>
        <w:t>朗县自然资源局概况</w:t>
      </w:r>
    </w:p>
    <w:p>
      <w:pPr>
        <w:ind w:firstLine="627" w:firstLineChars="196"/>
        <w:rPr>
          <w:rFonts w:hint="eastAsia" w:ascii="黑体" w:hAnsi="黑体" w:eastAsia="黑体" w:cs="黑体"/>
          <w:b w:val="0"/>
          <w:bCs/>
          <w:color w:val="auto"/>
          <w:sz w:val="32"/>
          <w:szCs w:val="32"/>
        </w:rPr>
      </w:pPr>
    </w:p>
    <w:p>
      <w:pPr>
        <w:ind w:firstLine="627" w:firstLineChars="196"/>
        <w:rPr>
          <w:rFonts w:hint="eastAsia" w:ascii="黑体" w:hAnsi="黑体" w:eastAsia="黑体" w:cs="黑体"/>
          <w:b w:val="0"/>
          <w:bCs/>
          <w:color w:val="auto"/>
          <w:sz w:val="32"/>
          <w:szCs w:val="32"/>
        </w:rPr>
      </w:pPr>
    </w:p>
    <w:p>
      <w:pPr>
        <w:ind w:firstLine="627" w:firstLineChars="196"/>
        <w:rPr>
          <w:rFonts w:hint="eastAsia" w:ascii="黑体" w:hAnsi="黑体" w:eastAsia="黑体" w:cs="黑体"/>
          <w:b w:val="0"/>
          <w:bCs/>
          <w:color w:val="auto"/>
          <w:sz w:val="32"/>
          <w:szCs w:val="32"/>
        </w:rPr>
      </w:pPr>
    </w:p>
    <w:p>
      <w:pPr>
        <w:ind w:firstLine="627" w:firstLineChars="196"/>
        <w:rPr>
          <w:rFonts w:hint="eastAsia" w:ascii="黑体" w:hAnsi="黑体" w:eastAsia="黑体" w:cs="黑体"/>
          <w:b w:val="0"/>
          <w:bCs/>
          <w:color w:val="auto"/>
          <w:sz w:val="32"/>
          <w:szCs w:val="32"/>
        </w:rPr>
      </w:pPr>
    </w:p>
    <w:p>
      <w:pPr>
        <w:ind w:firstLine="627" w:firstLineChars="196"/>
        <w:rPr>
          <w:rFonts w:hint="eastAsia" w:ascii="黑体" w:hAnsi="黑体" w:eastAsia="黑体" w:cs="黑体"/>
          <w:b w:val="0"/>
          <w:bCs/>
          <w:color w:val="auto"/>
          <w:sz w:val="32"/>
          <w:szCs w:val="32"/>
        </w:rPr>
      </w:pPr>
    </w:p>
    <w:p>
      <w:pPr>
        <w:ind w:firstLine="627" w:firstLineChars="196"/>
        <w:rPr>
          <w:rFonts w:hint="eastAsia" w:ascii="黑体" w:hAnsi="黑体" w:eastAsia="黑体" w:cs="黑体"/>
          <w:b w:val="0"/>
          <w:bCs/>
          <w:color w:val="auto"/>
          <w:sz w:val="32"/>
          <w:szCs w:val="32"/>
        </w:rPr>
      </w:pPr>
    </w:p>
    <w:p>
      <w:pPr>
        <w:rPr>
          <w:rFonts w:hint="eastAsia" w:ascii="黑体" w:hAnsi="黑体" w:eastAsia="黑体" w:cs="黑体"/>
          <w:b w:val="0"/>
          <w:bCs/>
          <w:color w:val="auto"/>
          <w:sz w:val="32"/>
          <w:szCs w:val="32"/>
        </w:rPr>
      </w:pPr>
    </w:p>
    <w:p>
      <w:pPr>
        <w:ind w:firstLine="627" w:firstLineChars="196"/>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一、部门决算单位构成</w:t>
      </w:r>
    </w:p>
    <w:p>
      <w:pPr>
        <w:ind w:firstLine="640" w:firstLineChars="200"/>
        <w:rPr>
          <w:rFonts w:hint="eastAsia"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lang w:eastAsia="zh-CN"/>
        </w:rPr>
        <w:t>2021</w:t>
      </w:r>
      <w:r>
        <w:rPr>
          <w:rFonts w:hint="eastAsia" w:ascii="方正仿宋简体" w:hAnsi="仿宋_GB2312" w:eastAsia="方正仿宋简体" w:cs="仿宋_GB2312"/>
          <w:kern w:val="0"/>
          <w:sz w:val="32"/>
          <w:szCs w:val="32"/>
        </w:rPr>
        <w:t>年，朗县自然资源局在县委、县政府的坚强领导下，在上级</w:t>
      </w:r>
      <w:r>
        <w:rPr>
          <w:rFonts w:hint="eastAsia" w:ascii="方正仿宋简体" w:hAnsi="仿宋_GB2312" w:eastAsia="方正仿宋简体" w:cs="仿宋_GB2312"/>
          <w:kern w:val="0"/>
          <w:sz w:val="32"/>
          <w:szCs w:val="32"/>
          <w:lang w:eastAsia="zh-CN"/>
        </w:rPr>
        <w:t>自然资源</w:t>
      </w:r>
      <w:r>
        <w:rPr>
          <w:rFonts w:hint="eastAsia" w:ascii="方正仿宋简体" w:hAnsi="仿宋_GB2312" w:eastAsia="方正仿宋简体" w:cs="仿宋_GB2312"/>
          <w:kern w:val="0"/>
          <w:sz w:val="32"/>
          <w:szCs w:val="32"/>
        </w:rPr>
        <w:t>部门的正确指导下，秉承“十分珍惜、合理利用土地和切实保护耕地”基本国策，紧紧围绕中心工作，主动服务大局，狠抓职能转变，加强土地监管，严格耕地保护制度，规范矿产管理，着力推进生态文明建设和队伍建设，各项工作取得了显著成效，为全县经济发展和社会和谐稳定作出应有贡献。</w:t>
      </w:r>
      <w:r>
        <w:rPr>
          <w:rFonts w:hint="eastAsia" w:ascii="方正仿宋简体" w:hAnsi="仿宋_GB2312" w:eastAsia="方正仿宋简体" w:cs="仿宋_GB2312"/>
          <w:kern w:val="0"/>
          <w:sz w:val="32"/>
          <w:szCs w:val="32"/>
          <w:lang w:eastAsia="zh-CN"/>
        </w:rPr>
        <w:t>2021</w:t>
      </w:r>
      <w:r>
        <w:rPr>
          <w:rFonts w:hint="eastAsia" w:ascii="方正仿宋简体" w:hAnsi="仿宋_GB2312" w:eastAsia="方正仿宋简体" w:cs="仿宋_GB2312"/>
          <w:kern w:val="0"/>
          <w:sz w:val="32"/>
          <w:szCs w:val="32"/>
        </w:rPr>
        <w:t>年，</w:t>
      </w:r>
      <w:r>
        <w:rPr>
          <w:rFonts w:hint="eastAsia" w:ascii="方正仿宋简体" w:hAnsi="仿宋_GB2312" w:eastAsia="方正仿宋简体" w:cs="仿宋_GB2312"/>
          <w:kern w:val="0"/>
          <w:sz w:val="32"/>
          <w:szCs w:val="32"/>
          <w:lang w:eastAsia="zh-CN"/>
        </w:rPr>
        <w:t>自然资源</w:t>
      </w:r>
      <w:r>
        <w:rPr>
          <w:rFonts w:hint="eastAsia" w:ascii="方正仿宋简体" w:hAnsi="仿宋_GB2312" w:eastAsia="方正仿宋简体" w:cs="仿宋_GB2312"/>
          <w:kern w:val="0"/>
          <w:sz w:val="32"/>
          <w:szCs w:val="32"/>
        </w:rPr>
        <w:t>局设有综合办公室、土地执法大队、土地储备中心、不动产登记中心等科室，实有干部职工</w:t>
      </w:r>
      <w:r>
        <w:rPr>
          <w:rFonts w:hint="eastAsia" w:ascii="方正仿宋简体" w:hAnsi="仿宋_GB2312" w:eastAsia="方正仿宋简体" w:cs="仿宋_GB2312"/>
          <w:kern w:val="0"/>
          <w:sz w:val="32"/>
          <w:szCs w:val="32"/>
          <w:lang w:val="en-US" w:eastAsia="zh-CN"/>
        </w:rPr>
        <w:t>19</w:t>
      </w:r>
      <w:r>
        <w:rPr>
          <w:rFonts w:hint="eastAsia" w:ascii="方正仿宋简体" w:hAnsi="仿宋_GB2312" w:eastAsia="方正仿宋简体" w:cs="仿宋_GB2312"/>
          <w:kern w:val="0"/>
          <w:sz w:val="32"/>
          <w:szCs w:val="32"/>
        </w:rPr>
        <w:t>人，其中行政编制</w:t>
      </w:r>
      <w:r>
        <w:rPr>
          <w:rFonts w:hint="eastAsia" w:ascii="方正仿宋简体" w:hAnsi="仿宋_GB2312" w:eastAsia="方正仿宋简体" w:cs="仿宋_GB2312"/>
          <w:kern w:val="0"/>
          <w:sz w:val="32"/>
          <w:szCs w:val="32"/>
          <w:lang w:val="en-US" w:eastAsia="zh-CN"/>
        </w:rPr>
        <w:t>9</w:t>
      </w:r>
      <w:r>
        <w:rPr>
          <w:rFonts w:hint="eastAsia" w:ascii="方正仿宋简体" w:hAnsi="仿宋_GB2312" w:eastAsia="方正仿宋简体" w:cs="仿宋_GB2312"/>
          <w:kern w:val="0"/>
          <w:sz w:val="32"/>
          <w:szCs w:val="32"/>
        </w:rPr>
        <w:t>人，事业编制9人，工勤人员1人。</w:t>
      </w:r>
    </w:p>
    <w:p>
      <w:pPr>
        <w:ind w:firstLine="627" w:firstLineChars="196"/>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、部门职责和机构设置</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（一）承担规范自然资源管理秩序的责任；贯彻执行国家、自治区、地区有关土地、矿产、测绘管理的法律法规和方针、政策；负责有关行政处罚听证和行政复议。</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二）承担优化配置自然资源的责任；编制和实施全县自然资源规划、土地利用规划、矿产资源利用和保护规划、测绘工作规划、地质勘查规划、地质灾害防治和地质遗迹保护规划；编制全县年度土地利用计划；参与报自治区政府、地区行政公署和县政府审批的城市总体规划和其他相关规划的审核。</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（三）负责规范自然资源权属管理；监督检查土地行政执法和土地、矿产资源规划执行情况；统筹协调自然资源整治工作；依法保护土地、矿产资源所有者和使用者的合法权益，组织调处重大权属纠纷。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四）承担全县耕地保护的责任，确保规划确定的耕地保有量和基本农田面积不减少；实施耕地保护政策，组织实施基本农田保护，监督占用耕地补偿制度执行情况；指导未利用土地开发、土地整理、土地复垦和耕地开发的监督工作；组织实施土地用途管制、农用地转用和土地征收征用；承担上报自治区人民政府、地区行政公署和县政府审批的各类用地的审核、报批工作。</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（五）承担及时准确提供全县土地利用各种数据的责任。制定全县地籍管理办法；组织土地资源调查、地籍调查、土地统计和动态监测。</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六）承担节约集约利用土地资源的责任；拟订并实施土地开发利用标准，管理和监督城乡建设用地供应、政府土地储备、土地开发和节约集约利用；拟订土地使用权出让、租赁、作价出资、转让等管理办法，并按规定组织实施；建立基准地价、标定地价等政府公示地价制度；会同农业部门监督管理农村集体建设用地使用权的流转。</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七)负责自然资源统一确权登记工作。贯彻执行国家各类自然资源和不动产统一确权登记、权籍调查、不动产测绘、争议调处、成果应用的政策、标准、规范。负责自然资源和不动产登记资料收集、整理、共享、汇交管理等。负责开展全县自然资源和不动产确权登记工作。</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八）承担规范自然资源市场秩序的责任；监测土地市场和建设用地利用情况，监管地价；规范和监管矿业权市场，组织对矿业权人勘查、开采活动进行监督管理；规范和监管自然资源相关社会中介组织和行为，依法查处违法行为。</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九）负责矿产资源开发的管理；依法管理矿业权的审批登记发证和转让审批登记；负责全县规划矿区和对国民经济具有重要价值的矿区的管理；承担保护性开采的特定矿种、优势矿产的开采总量控制及相关管理工作。</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十）承担地质环境保护的责任；组织实施矿山地质环境保护，监督管理古生物化石、地质遗迹、矿业遗迹等重要保护区、保护地；依法管理水文地质、工程地质、环境地质勘查和评价工作；监测、监督防止地下水过量开采和污染；承担城市地质、农业地质、旅游地质的勘查、评价工作。</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（十一）承担地质灾害预防和治理的责任；指导应急处置，组织、协调、指导和监督地质灾害防治工作；制定并组织实施地质灾害等自然资源突发事件应急预案。</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十二）依法征收自然资源收益，规范、监督资金使用，拟订土地、矿产资源参与经济调控的政策措施。依法组织土地、矿产资源专项收入的征管；配合有关部门拟订收益分配制度；配合有关部门指导、监督全县土地整理复垦开发资金的收取和使用；依法管理土地、矿产等资源性资产和国家出资形成的矿业权权益，负责有关资金、基金的预算和财务、资产管理与监督。</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（十三）推进自然资源科技进步；组织制定、实施全县自然资源科技发展和人才培养计划；按照权限开展自然资源保护和管理方面的对外交流与合作；组织和实施本县自然资源信息化和信息资料的公共服务。</w:t>
      </w:r>
    </w:p>
    <w:p>
      <w:pPr>
        <w:rPr>
          <w:rFonts w:hint="eastAsia" w:ascii="方正仿宋简体" w:hAnsi="仿宋_GB2312" w:eastAsia="方正仿宋简体" w:cs="仿宋_GB2312"/>
          <w:kern w:val="0"/>
          <w:sz w:val="32"/>
          <w:szCs w:val="32"/>
          <w:lang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kern w:val="0"/>
          <w:sz w:val="32"/>
          <w:szCs w:val="32"/>
          <w:lang w:eastAsia="zh-CN"/>
        </w:rPr>
        <w:t>（十四）承办县政府交办的其他事项。</w:t>
      </w:r>
    </w:p>
    <w:p>
      <w:pP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、朗县自然资源局决算单位构成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朗县自然资源局</w:t>
      </w:r>
      <w:r>
        <w:rPr>
          <w:rFonts w:hint="eastAsia" w:ascii="方正仿宋简体" w:hAnsi="仿宋_GB2312" w:eastAsia="方正仿宋简体" w:cs="仿宋_GB2312"/>
          <w:kern w:val="0"/>
          <w:sz w:val="32"/>
          <w:szCs w:val="32"/>
          <w:lang w:eastAsia="zh-CN"/>
        </w:rPr>
        <w:t>2021</w:t>
      </w:r>
      <w:r>
        <w:rPr>
          <w:rFonts w:hint="eastAsia" w:ascii="方正仿宋简体" w:hAnsi="仿宋_GB2312" w:eastAsia="方正仿宋简体" w:cs="仿宋_GB2312"/>
          <w:kern w:val="0"/>
          <w:sz w:val="32"/>
          <w:szCs w:val="32"/>
        </w:rPr>
        <w:t>年度决算公开包括以下单位数据：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（一）</w:t>
      </w:r>
      <w:r>
        <w:rPr>
          <w:rFonts w:hint="eastAsia" w:ascii="方正仿宋简体" w:hAnsi="仿宋_GB2312" w:eastAsia="方正仿宋简体" w:cs="仿宋_GB2312"/>
          <w:kern w:val="0"/>
          <w:sz w:val="32"/>
          <w:szCs w:val="32"/>
          <w:lang w:eastAsia="zh-CN"/>
        </w:rPr>
        <w:t>自然资源</w:t>
      </w:r>
      <w:r>
        <w:rPr>
          <w:rFonts w:hint="eastAsia" w:ascii="方正仿宋简体" w:hAnsi="仿宋_GB2312" w:eastAsia="方正仿宋简体" w:cs="仿宋_GB2312"/>
          <w:kern w:val="0"/>
          <w:sz w:val="32"/>
          <w:szCs w:val="32"/>
        </w:rPr>
        <w:t>局综合办公室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（二）土地执法大队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（三）土地储备中心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（四）不动产登记中心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仿宋_GB2312" w:eastAsia="方正仿宋简体" w:cs="仿宋_GB2312"/>
          <w:kern w:val="0"/>
          <w:sz w:val="32"/>
          <w:szCs w:val="32"/>
        </w:rPr>
      </w:pPr>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宋体" w:eastAsia="黑体"/>
          <w:color w:val="auto"/>
          <w:sz w:val="48"/>
          <w:szCs w:val="4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color w:val="auto"/>
          <w:sz w:val="48"/>
          <w:szCs w:val="48"/>
        </w:rPr>
      </w:pPr>
      <w:r>
        <w:rPr>
          <w:rFonts w:hint="eastAsia" w:ascii="黑体" w:hAnsi="宋体" w:eastAsia="黑体"/>
          <w:color w:val="auto"/>
          <w:sz w:val="48"/>
          <w:szCs w:val="48"/>
        </w:rPr>
        <w:t>第二部分</w:t>
      </w:r>
    </w:p>
    <w:p>
      <w:pPr>
        <w:spacing w:line="460" w:lineRule="exact"/>
        <w:jc w:val="center"/>
        <w:rPr>
          <w:rFonts w:hint="eastAsia" w:ascii="黑体" w:hAnsi="宋体" w:eastAsia="黑体"/>
          <w:color w:val="auto"/>
          <w:sz w:val="48"/>
          <w:szCs w:val="48"/>
        </w:rPr>
      </w:pPr>
    </w:p>
    <w:p>
      <w:pPr>
        <w:spacing w:line="460" w:lineRule="exact"/>
        <w:jc w:val="center"/>
        <w:rPr>
          <w:rFonts w:hint="eastAsia" w:ascii="黑体" w:eastAsia="黑体"/>
          <w:color w:val="auto"/>
          <w:sz w:val="32"/>
          <w:szCs w:val="32"/>
        </w:rPr>
      </w:pPr>
      <w:r>
        <w:rPr>
          <w:rFonts w:hint="eastAsia" w:ascii="黑体" w:hAnsi="宋体" w:eastAsia="黑体"/>
          <w:color w:val="auto"/>
          <w:sz w:val="48"/>
          <w:szCs w:val="48"/>
        </w:rPr>
        <w:t>朗县自然资源局</w:t>
      </w:r>
      <w:r>
        <w:rPr>
          <w:rFonts w:hint="eastAsia" w:ascii="黑体" w:hAnsi="宋体" w:eastAsia="黑体"/>
          <w:color w:val="auto"/>
          <w:sz w:val="48"/>
          <w:szCs w:val="48"/>
          <w:lang w:eastAsia="zh-CN"/>
        </w:rPr>
        <w:t>2021</w:t>
      </w:r>
      <w:r>
        <w:rPr>
          <w:rFonts w:hint="eastAsia" w:ascii="黑体" w:hAnsi="宋体" w:eastAsia="黑体"/>
          <w:color w:val="auto"/>
          <w:sz w:val="48"/>
          <w:szCs w:val="48"/>
        </w:rPr>
        <w:t>年度决算明细表</w:t>
      </w:r>
    </w:p>
    <w:p>
      <w:pPr>
        <w:spacing w:before="156" w:beforeLines="50" w:after="156" w:afterLines="50"/>
        <w:jc w:val="center"/>
      </w:pPr>
      <w:r>
        <w:rPr>
          <w:rFonts w:hint="eastAsia" w:ascii="黑体" w:eastAsia="黑体"/>
          <w:color w:val="auto"/>
          <w:sz w:val="32"/>
          <w:szCs w:val="32"/>
        </w:rPr>
        <w:t>（见附表1－</w:t>
      </w:r>
      <w:r>
        <w:rPr>
          <w:rFonts w:hint="eastAsia" w:ascii="黑体" w:eastAsia="黑体"/>
          <w:color w:val="auto"/>
          <w:sz w:val="32"/>
          <w:szCs w:val="32"/>
          <w:lang w:val="en-US" w:eastAsia="zh-CN"/>
        </w:rPr>
        <w:t>8</w:t>
      </w:r>
    </w:p>
    <w:p>
      <w:pPr>
        <w:pStyle w:val="2"/>
      </w:pPr>
    </w:p>
    <w:p>
      <w:pPr>
        <w:pStyle w:val="2"/>
      </w:pPr>
    </w:p>
    <w:p/>
    <w:p/>
    <w:p/>
    <w:p/>
    <w:p>
      <w:pPr>
        <w:spacing w:before="156" w:beforeLines="50" w:after="156" w:afterLines="50"/>
        <w:jc w:val="both"/>
      </w:pPr>
    </w:p>
    <w:p>
      <w:pPr>
        <w:pStyle w:val="2"/>
      </w:pPr>
      <w:r>
        <w:drawing>
          <wp:inline distT="0" distB="0" distL="114300" distR="114300">
            <wp:extent cx="9110980" cy="5269865"/>
            <wp:effectExtent l="0" t="0" r="13970"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9110980" cy="5269865"/>
                    </a:xfrm>
                    <a:prstGeom prst="rect">
                      <a:avLst/>
                    </a:prstGeom>
                    <a:noFill/>
                    <a:ln w="9525">
                      <a:noFill/>
                    </a:ln>
                  </pic:spPr>
                </pic:pic>
              </a:graphicData>
            </a:graphic>
          </wp:inline>
        </w:drawing>
      </w:r>
    </w:p>
    <w:p>
      <w:pPr>
        <w:spacing w:before="156" w:beforeLines="50" w:after="156" w:afterLines="50"/>
        <w:jc w:val="center"/>
      </w:pPr>
      <w:r>
        <w:drawing>
          <wp:inline distT="0" distB="0" distL="114300" distR="114300">
            <wp:extent cx="8891905" cy="5269230"/>
            <wp:effectExtent l="0" t="0" r="4445"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8891905" cy="5269230"/>
                    </a:xfrm>
                    <a:prstGeom prst="rect">
                      <a:avLst/>
                    </a:prstGeom>
                    <a:noFill/>
                    <a:ln w="9525">
                      <a:noFill/>
                    </a:ln>
                  </pic:spPr>
                </pic:pic>
              </a:graphicData>
            </a:graphic>
          </wp:inline>
        </w:drawing>
      </w:r>
    </w:p>
    <w:p>
      <w:pPr>
        <w:spacing w:before="156" w:beforeLines="50" w:after="156" w:afterLines="50"/>
        <w:jc w:val="center"/>
      </w:pPr>
      <w:r>
        <w:drawing>
          <wp:inline distT="0" distB="0" distL="114300" distR="114300">
            <wp:extent cx="8854440" cy="5639435"/>
            <wp:effectExtent l="0" t="0" r="3810" b="184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8854440" cy="5639435"/>
                    </a:xfrm>
                    <a:prstGeom prst="rect">
                      <a:avLst/>
                    </a:prstGeom>
                    <a:noFill/>
                    <a:ln w="9525">
                      <a:noFill/>
                    </a:ln>
                  </pic:spPr>
                </pic:pic>
              </a:graphicData>
            </a:graphic>
          </wp:inline>
        </w:drawing>
      </w:r>
    </w:p>
    <w:p>
      <w:pPr>
        <w:spacing w:before="156" w:beforeLines="50" w:after="156" w:afterLines="50"/>
        <w:jc w:val="center"/>
      </w:pPr>
      <w:r>
        <w:drawing>
          <wp:inline distT="0" distB="0" distL="114300" distR="114300">
            <wp:extent cx="8854440" cy="6287770"/>
            <wp:effectExtent l="0" t="0" r="3810" b="1778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8854440" cy="6287770"/>
                    </a:xfrm>
                    <a:prstGeom prst="rect">
                      <a:avLst/>
                    </a:prstGeom>
                    <a:noFill/>
                    <a:ln w="9525">
                      <a:noFill/>
                    </a:ln>
                  </pic:spPr>
                </pic:pic>
              </a:graphicData>
            </a:graphic>
          </wp:inline>
        </w:drawing>
      </w:r>
      <w:r>
        <w:drawing>
          <wp:inline distT="0" distB="0" distL="114300" distR="114300">
            <wp:extent cx="8728710" cy="5269865"/>
            <wp:effectExtent l="0" t="0" r="15240" b="698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8728710" cy="5269865"/>
                    </a:xfrm>
                    <a:prstGeom prst="rect">
                      <a:avLst/>
                    </a:prstGeom>
                    <a:noFill/>
                    <a:ln w="9525">
                      <a:noFill/>
                    </a:ln>
                  </pic:spPr>
                </pic:pic>
              </a:graphicData>
            </a:graphic>
          </wp:inline>
        </w:drawing>
      </w:r>
    </w:p>
    <w:p>
      <w:pPr>
        <w:spacing w:before="156" w:beforeLines="50" w:after="156" w:afterLines="50"/>
        <w:jc w:val="center"/>
        <w:rPr>
          <w:rFonts w:hint="eastAsia" w:ascii="黑体" w:hAnsi="宋体" w:eastAsia="黑体"/>
          <w:color w:val="auto"/>
          <w:sz w:val="48"/>
          <w:szCs w:val="48"/>
        </w:rPr>
      </w:pPr>
      <w:r>
        <w:drawing>
          <wp:inline distT="0" distB="0" distL="114300" distR="114300">
            <wp:extent cx="8719185" cy="5269865"/>
            <wp:effectExtent l="0" t="0" r="5715" b="698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9"/>
                    <a:stretch>
                      <a:fillRect/>
                    </a:stretch>
                  </pic:blipFill>
                  <pic:spPr>
                    <a:xfrm>
                      <a:off x="0" y="0"/>
                      <a:ext cx="8719185" cy="5269865"/>
                    </a:xfrm>
                    <a:prstGeom prst="rect">
                      <a:avLst/>
                    </a:prstGeom>
                    <a:noFill/>
                    <a:ln w="9525">
                      <a:noFill/>
                    </a:ln>
                  </pic:spPr>
                </pic:pic>
              </a:graphicData>
            </a:graphic>
          </wp:inline>
        </w:drawing>
      </w:r>
    </w:p>
    <w:p>
      <w:pPr>
        <w:spacing w:before="156" w:beforeLines="50" w:after="156" w:afterLines="50"/>
        <w:jc w:val="center"/>
      </w:pPr>
      <w:r>
        <w:drawing>
          <wp:inline distT="0" distB="0" distL="114300" distR="114300">
            <wp:extent cx="8863330" cy="2731770"/>
            <wp:effectExtent l="0" t="0" r="13970" b="1143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8863330" cy="2731770"/>
                    </a:xfrm>
                    <a:prstGeom prst="rect">
                      <a:avLst/>
                    </a:prstGeom>
                    <a:noFill/>
                    <a:ln w="9525">
                      <a:noFill/>
                    </a:ln>
                  </pic:spPr>
                </pic:pic>
              </a:graphicData>
            </a:graphic>
          </wp:inline>
        </w:drawing>
      </w:r>
    </w:p>
    <w:p>
      <w:pPr>
        <w:spacing w:before="156" w:beforeLines="50" w:after="156" w:afterLines="50"/>
        <w:jc w:val="center"/>
      </w:pPr>
    </w:p>
    <w:p>
      <w:pPr>
        <w:spacing w:before="156" w:beforeLines="50" w:after="156" w:afterLines="50"/>
        <w:jc w:val="center"/>
      </w:pPr>
    </w:p>
    <w:p>
      <w:pPr>
        <w:spacing w:before="156" w:beforeLines="50" w:after="156" w:afterLines="50"/>
        <w:jc w:val="center"/>
      </w:pPr>
      <w:r>
        <w:drawing>
          <wp:inline distT="0" distB="0" distL="114300" distR="114300">
            <wp:extent cx="8855710" cy="4264025"/>
            <wp:effectExtent l="0" t="0" r="2540" b="317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1"/>
                    <a:stretch>
                      <a:fillRect/>
                    </a:stretch>
                  </pic:blipFill>
                  <pic:spPr>
                    <a:xfrm>
                      <a:off x="0" y="0"/>
                      <a:ext cx="8855710" cy="4264025"/>
                    </a:xfrm>
                    <a:prstGeom prst="rect">
                      <a:avLst/>
                    </a:prstGeom>
                    <a:noFill/>
                    <a:ln w="9525">
                      <a:noFill/>
                    </a:ln>
                  </pic:spPr>
                </pic:pic>
              </a:graphicData>
            </a:graphic>
          </wp:inline>
        </w:drawing>
      </w:r>
    </w:p>
    <w:p>
      <w:pPr>
        <w:spacing w:before="156" w:beforeLines="50" w:after="156" w:afterLines="50"/>
        <w:jc w:val="center"/>
      </w:pPr>
    </w:p>
    <w:p>
      <w:pPr>
        <w:spacing w:before="156" w:beforeLines="50" w:after="156" w:afterLines="50"/>
        <w:jc w:val="center"/>
      </w:pPr>
    </w:p>
    <w:p>
      <w:pPr>
        <w:spacing w:before="156" w:beforeLines="50" w:after="156" w:afterLines="50"/>
        <w:jc w:val="center"/>
        <w:rPr>
          <w:rFonts w:hint="eastAsia" w:ascii="黑体" w:hAnsi="宋体" w:eastAsia="黑体"/>
          <w:color w:val="auto"/>
          <w:sz w:val="48"/>
          <w:szCs w:val="48"/>
        </w:rPr>
      </w:pPr>
    </w:p>
    <w:p>
      <w:pPr>
        <w:spacing w:before="156" w:beforeLines="50" w:after="156" w:afterLines="50"/>
        <w:jc w:val="center"/>
        <w:rPr>
          <w:rFonts w:hint="eastAsia" w:ascii="黑体" w:hAnsi="宋体" w:eastAsia="黑体"/>
          <w:color w:val="auto"/>
          <w:sz w:val="48"/>
          <w:szCs w:val="48"/>
        </w:rPr>
      </w:pPr>
    </w:p>
    <w:p>
      <w:pPr>
        <w:spacing w:before="156" w:beforeLines="50" w:after="156" w:afterLines="50"/>
        <w:jc w:val="center"/>
        <w:rPr>
          <w:rFonts w:hint="eastAsia" w:ascii="黑体" w:hAnsi="宋体" w:eastAsia="黑体"/>
          <w:color w:val="auto"/>
          <w:sz w:val="48"/>
          <w:szCs w:val="48"/>
        </w:rPr>
      </w:pPr>
      <w:r>
        <w:rPr>
          <w:rFonts w:hint="eastAsia" w:ascii="黑体" w:hAnsi="宋体" w:eastAsia="黑体"/>
          <w:color w:val="auto"/>
          <w:sz w:val="48"/>
          <w:szCs w:val="48"/>
        </w:rPr>
        <w:t>第三部分</w:t>
      </w:r>
    </w:p>
    <w:p>
      <w:pPr>
        <w:jc w:val="center"/>
        <w:rPr>
          <w:rFonts w:hint="eastAsia" w:ascii="黑体" w:hAnsi="宋体" w:eastAsia="黑体"/>
          <w:color w:val="auto"/>
          <w:sz w:val="48"/>
          <w:szCs w:val="48"/>
        </w:rPr>
      </w:pPr>
      <w:r>
        <w:rPr>
          <w:rFonts w:hint="eastAsia" w:ascii="黑体" w:hAnsi="宋体" w:eastAsia="黑体"/>
          <w:color w:val="auto"/>
          <w:sz w:val="48"/>
          <w:szCs w:val="48"/>
        </w:rPr>
        <w:t>朗县自然资源局</w:t>
      </w:r>
      <w:r>
        <w:rPr>
          <w:rFonts w:hint="eastAsia" w:ascii="黑体" w:hAnsi="宋体" w:eastAsia="黑体"/>
          <w:color w:val="auto"/>
          <w:sz w:val="48"/>
          <w:szCs w:val="48"/>
          <w:lang w:eastAsia="zh-CN"/>
        </w:rPr>
        <w:t>2021</w:t>
      </w:r>
      <w:r>
        <w:rPr>
          <w:rFonts w:hint="eastAsia" w:ascii="黑体" w:hAnsi="宋体" w:eastAsia="黑体"/>
          <w:color w:val="auto"/>
          <w:sz w:val="48"/>
          <w:szCs w:val="48"/>
        </w:rPr>
        <w:t>年度</w:t>
      </w:r>
    </w:p>
    <w:p>
      <w:pPr>
        <w:jc w:val="center"/>
        <w:rPr>
          <w:rFonts w:hint="eastAsia" w:ascii="黑体" w:hAnsi="宋体" w:eastAsia="黑体"/>
          <w:color w:val="auto"/>
          <w:sz w:val="48"/>
          <w:szCs w:val="48"/>
        </w:rPr>
      </w:pPr>
      <w:r>
        <w:rPr>
          <w:rFonts w:hint="eastAsia" w:ascii="黑体" w:hAnsi="宋体" w:eastAsia="黑体"/>
          <w:color w:val="auto"/>
          <w:sz w:val="48"/>
          <w:szCs w:val="48"/>
        </w:rPr>
        <w:t>决算情况说明</w:t>
      </w:r>
    </w:p>
    <w:p>
      <w:pPr>
        <w:pStyle w:val="2"/>
        <w:jc w:val="center"/>
        <w:rPr>
          <w:rFonts w:hint="eastAsia" w:ascii="黑体" w:hAnsi="宋体" w:eastAsia="黑体"/>
          <w:color w:val="auto"/>
          <w:sz w:val="48"/>
          <w:szCs w:val="48"/>
        </w:rPr>
      </w:pPr>
    </w:p>
    <w:p>
      <w:pPr>
        <w:pStyle w:val="2"/>
      </w:pPr>
    </w:p>
    <w:p/>
    <w:p/>
    <w:p>
      <w:pPr>
        <w:rPr>
          <w:rFonts w:hint="eastAsia" w:ascii="仿宋" w:hAnsi="仿宋" w:eastAsia="仿宋"/>
          <w:b/>
          <w:color w:val="auto"/>
          <w:sz w:val="36"/>
          <w:szCs w:val="36"/>
        </w:rPr>
      </w:pPr>
    </w:p>
    <w:p>
      <w:pPr>
        <w:rPr>
          <w:rFonts w:hint="eastAsia" w:ascii="黑体" w:hAnsi="黑体" w:eastAsia="黑体" w:cs="黑体"/>
          <w:b w:val="0"/>
          <w:bCs/>
          <w:color w:val="auto"/>
          <w:sz w:val="32"/>
          <w:szCs w:val="32"/>
          <w:lang w:val="en-US" w:eastAsia="zh-CN"/>
        </w:rPr>
      </w:pP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一、</w:t>
      </w:r>
      <w:r>
        <w:rPr>
          <w:rFonts w:hint="eastAsia" w:ascii="黑体" w:hAnsi="黑体" w:eastAsia="黑体" w:cs="黑体"/>
          <w:b w:val="0"/>
          <w:bCs/>
          <w:color w:val="auto"/>
          <w:sz w:val="32"/>
          <w:szCs w:val="32"/>
          <w:lang w:eastAsia="zh-CN"/>
        </w:rPr>
        <w:t>2021</w:t>
      </w:r>
      <w:r>
        <w:rPr>
          <w:rFonts w:hint="eastAsia" w:ascii="黑体" w:hAnsi="黑体" w:eastAsia="黑体" w:cs="黑体"/>
          <w:b w:val="0"/>
          <w:bCs/>
          <w:color w:val="auto"/>
          <w:sz w:val="32"/>
          <w:szCs w:val="32"/>
        </w:rPr>
        <w:t>年度一般公共预算收支总体情况说明</w:t>
      </w:r>
    </w:p>
    <w:p>
      <w:pPr>
        <w:ind w:firstLine="640" w:firstLineChars="200"/>
        <w:rPr>
          <w:rFonts w:hint="eastAsia"/>
          <w:color w:val="auto"/>
          <w:lang w:eastAsia="zh-CN"/>
        </w:rPr>
      </w:pPr>
      <w:r>
        <w:rPr>
          <w:rFonts w:hint="eastAsia" w:ascii="方正仿宋简体" w:hAnsi="仿宋_GB2312" w:eastAsia="方正仿宋简体" w:cs="仿宋_GB2312"/>
          <w:color w:val="auto"/>
          <w:kern w:val="0"/>
          <w:sz w:val="32"/>
          <w:szCs w:val="32"/>
          <w:lang w:eastAsia="zh-CN"/>
        </w:rPr>
        <w:t>2021年朗县自然资源局年度收入总计为</w:t>
      </w:r>
      <w:r>
        <w:rPr>
          <w:rFonts w:hint="eastAsia" w:ascii="方正仿宋简体" w:hAnsi="仿宋_GB2312" w:eastAsia="方正仿宋简体" w:cs="仿宋_GB2312"/>
          <w:color w:val="auto"/>
          <w:kern w:val="0"/>
          <w:sz w:val="32"/>
          <w:szCs w:val="32"/>
          <w:lang w:val="en-US" w:eastAsia="zh-CN"/>
        </w:rPr>
        <w:t>963.91</w:t>
      </w:r>
      <w:r>
        <w:rPr>
          <w:rFonts w:hint="eastAsia" w:ascii="方正仿宋简体" w:hAnsi="仿宋_GB2312" w:eastAsia="方正仿宋简体" w:cs="仿宋_GB2312"/>
          <w:color w:val="auto"/>
          <w:kern w:val="0"/>
          <w:sz w:val="32"/>
          <w:szCs w:val="32"/>
          <w:lang w:eastAsia="zh-CN"/>
        </w:rPr>
        <w:t>万元，上年结转</w:t>
      </w:r>
      <w:r>
        <w:rPr>
          <w:rFonts w:hint="eastAsia" w:ascii="方正仿宋简体" w:hAnsi="仿宋_GB2312" w:eastAsia="方正仿宋简体" w:cs="仿宋_GB2312"/>
          <w:color w:val="auto"/>
          <w:kern w:val="0"/>
          <w:sz w:val="32"/>
          <w:szCs w:val="32"/>
          <w:lang w:val="en-US" w:eastAsia="zh-CN"/>
        </w:rPr>
        <w:t>638.59万元，</w:t>
      </w:r>
      <w:r>
        <w:rPr>
          <w:rFonts w:hint="eastAsia" w:ascii="方正仿宋简体" w:hAnsi="仿宋_GB2312" w:eastAsia="方正仿宋简体" w:cs="仿宋_GB2312"/>
          <w:color w:val="auto"/>
          <w:kern w:val="0"/>
          <w:sz w:val="32"/>
          <w:szCs w:val="32"/>
          <w:lang w:eastAsia="zh-CN"/>
        </w:rPr>
        <w:t>支出总计</w:t>
      </w:r>
      <w:r>
        <w:rPr>
          <w:rFonts w:hint="eastAsia" w:ascii="方正仿宋简体" w:hAnsi="仿宋_GB2312" w:eastAsia="方正仿宋简体" w:cs="仿宋_GB2312"/>
          <w:color w:val="auto"/>
          <w:kern w:val="0"/>
          <w:sz w:val="32"/>
          <w:szCs w:val="32"/>
          <w:lang w:val="en-US" w:eastAsia="zh-CN"/>
        </w:rPr>
        <w:t>1285.86万元，</w:t>
      </w:r>
      <w:r>
        <w:rPr>
          <w:rFonts w:hint="eastAsia" w:ascii="方正仿宋简体" w:hAnsi="仿宋_GB2312" w:eastAsia="方正仿宋简体" w:cs="仿宋_GB2312"/>
          <w:b w:val="0"/>
          <w:bCs w:val="0"/>
          <w:color w:val="auto"/>
          <w:kern w:val="0"/>
          <w:sz w:val="32"/>
          <w:szCs w:val="32"/>
          <w:lang w:eastAsia="zh-CN"/>
        </w:rPr>
        <w:t>20</w:t>
      </w:r>
      <w:r>
        <w:rPr>
          <w:rFonts w:hint="eastAsia" w:ascii="方正仿宋简体" w:hAnsi="仿宋_GB2312" w:eastAsia="方正仿宋简体" w:cs="仿宋_GB2312"/>
          <w:b w:val="0"/>
          <w:bCs w:val="0"/>
          <w:color w:val="auto"/>
          <w:kern w:val="0"/>
          <w:sz w:val="32"/>
          <w:szCs w:val="32"/>
          <w:lang w:val="en-US" w:eastAsia="zh-CN"/>
        </w:rPr>
        <w:t>20</w:t>
      </w:r>
      <w:r>
        <w:rPr>
          <w:rFonts w:hint="eastAsia" w:ascii="方正仿宋简体" w:hAnsi="仿宋_GB2312" w:eastAsia="方正仿宋简体" w:cs="仿宋_GB2312"/>
          <w:b w:val="0"/>
          <w:bCs w:val="0"/>
          <w:color w:val="auto"/>
          <w:kern w:val="0"/>
          <w:sz w:val="32"/>
          <w:szCs w:val="32"/>
          <w:lang w:eastAsia="zh-CN"/>
        </w:rPr>
        <w:t>年收入</w:t>
      </w:r>
      <w:r>
        <w:rPr>
          <w:rFonts w:hint="eastAsia" w:ascii="方正仿宋简体" w:hAnsi="仿宋_GB2312" w:eastAsia="方正仿宋简体" w:cs="仿宋_GB2312"/>
          <w:b w:val="0"/>
          <w:bCs w:val="0"/>
          <w:color w:val="auto"/>
          <w:kern w:val="0"/>
          <w:sz w:val="32"/>
          <w:szCs w:val="32"/>
          <w:lang w:val="en-US" w:eastAsia="zh-CN"/>
        </w:rPr>
        <w:t xml:space="preserve">2195.58 </w:t>
      </w:r>
      <w:r>
        <w:rPr>
          <w:rFonts w:hint="eastAsia" w:ascii="方正仿宋简体" w:hAnsi="仿宋_GB2312" w:eastAsia="方正仿宋简体" w:cs="仿宋_GB2312"/>
          <w:b w:val="0"/>
          <w:bCs w:val="0"/>
          <w:color w:val="auto"/>
          <w:kern w:val="0"/>
          <w:sz w:val="32"/>
          <w:szCs w:val="32"/>
          <w:lang w:eastAsia="zh-CN"/>
        </w:rPr>
        <w:t>万元，支</w:t>
      </w:r>
      <w:r>
        <w:rPr>
          <w:rFonts w:hint="eastAsia" w:ascii="方正仿宋简体" w:hAnsi="仿宋_GB2312" w:eastAsia="方正仿宋简体" w:cs="仿宋_GB2312"/>
          <w:b w:val="0"/>
          <w:bCs w:val="0"/>
          <w:color w:val="auto"/>
          <w:kern w:val="0"/>
          <w:sz w:val="32"/>
          <w:szCs w:val="32"/>
          <w:lang w:val="en-US" w:eastAsia="zh-CN"/>
        </w:rPr>
        <w:t>出1505.59万元,</w:t>
      </w:r>
      <w:r>
        <w:rPr>
          <w:rFonts w:hint="eastAsia" w:ascii="方正仿宋简体" w:hAnsi="仿宋_GB2312" w:eastAsia="方正仿宋简体" w:cs="仿宋_GB2312"/>
          <w:color w:val="auto"/>
          <w:kern w:val="0"/>
          <w:sz w:val="32"/>
          <w:szCs w:val="32"/>
          <w:lang w:eastAsia="zh-CN"/>
        </w:rPr>
        <w:t>相比收入减少</w:t>
      </w:r>
      <w:r>
        <w:rPr>
          <w:rFonts w:hint="eastAsia" w:ascii="方正仿宋简体" w:hAnsi="仿宋_GB2312" w:eastAsia="方正仿宋简体" w:cs="仿宋_GB2312"/>
          <w:color w:val="auto"/>
          <w:kern w:val="0"/>
          <w:sz w:val="32"/>
          <w:szCs w:val="32"/>
          <w:lang w:val="en-US" w:eastAsia="zh-CN"/>
        </w:rPr>
        <w:t xml:space="preserve">1231.67万元、减少56.1%,相比支出减少 219.73万元，减少14.59%。 </w:t>
      </w:r>
      <w:r>
        <w:rPr>
          <w:rFonts w:hint="eastAsia" w:ascii="方正仿宋简体" w:hAnsi="仿宋_GB2312" w:eastAsia="方正仿宋简体" w:cs="仿宋_GB2312"/>
          <w:color w:val="auto"/>
          <w:kern w:val="0"/>
          <w:sz w:val="32"/>
          <w:szCs w:val="32"/>
          <w:lang w:eastAsia="zh-CN"/>
        </w:rPr>
        <w:t>主要原因是自然资源当年度项目预算减少。</w:t>
      </w:r>
    </w:p>
    <w:p>
      <w:pPr>
        <w:ind w:firstLine="627" w:firstLineChars="196"/>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w:t>
      </w:r>
      <w:r>
        <w:rPr>
          <w:rFonts w:hint="eastAsia" w:ascii="黑体" w:hAnsi="黑体" w:eastAsia="黑体" w:cs="黑体"/>
          <w:b w:val="0"/>
          <w:bCs/>
          <w:color w:val="auto"/>
          <w:sz w:val="32"/>
          <w:szCs w:val="32"/>
          <w:lang w:eastAsia="zh-CN"/>
        </w:rPr>
        <w:t>2021</w:t>
      </w:r>
      <w:r>
        <w:rPr>
          <w:rFonts w:hint="eastAsia" w:ascii="黑体" w:hAnsi="黑体" w:eastAsia="黑体" w:cs="黑体"/>
          <w:b w:val="0"/>
          <w:bCs/>
          <w:color w:val="auto"/>
          <w:sz w:val="32"/>
          <w:szCs w:val="32"/>
        </w:rPr>
        <w:t>年度一般公共预算收入情况说明</w:t>
      </w:r>
    </w:p>
    <w:p>
      <w:pPr>
        <w:ind w:firstLine="640" w:firstLineChars="200"/>
        <w:rPr>
          <w:rFonts w:hint="eastAsia" w:ascii="方正仿宋简体" w:hAnsi="仿宋_GB2312" w:eastAsia="方正仿宋简体" w:cs="仿宋_GB2312"/>
          <w:color w:val="auto"/>
          <w:kern w:val="0"/>
          <w:sz w:val="32"/>
          <w:szCs w:val="32"/>
          <w:lang w:val="en-US" w:eastAsia="zh-CN"/>
        </w:rPr>
      </w:pPr>
      <w:r>
        <w:rPr>
          <w:rFonts w:hint="eastAsia" w:ascii="方正仿宋简体" w:hAnsi="仿宋_GB2312" w:eastAsia="方正仿宋简体" w:cs="仿宋_GB2312"/>
          <w:color w:val="auto"/>
          <w:kern w:val="0"/>
          <w:sz w:val="32"/>
          <w:szCs w:val="32"/>
          <w:lang w:val="en-US" w:eastAsia="zh-CN"/>
        </w:rPr>
        <w:t>一般公共预算收入为财政拨款963.91万元，均为财政拨款，占本单位总支出的100%。</w:t>
      </w:r>
    </w:p>
    <w:p>
      <w:pPr>
        <w:rPr>
          <w:rFonts w:hint="eastAsia"/>
          <w:color w:val="auto"/>
        </w:rPr>
      </w:pPr>
      <w:r>
        <w:rPr>
          <w:rFonts w:hint="eastAsia" w:ascii="仿宋" w:hAnsi="仿宋" w:eastAsia="仿宋"/>
          <w:b/>
          <w:color w:val="auto"/>
          <w:sz w:val="36"/>
          <w:szCs w:val="36"/>
          <w:lang w:val="en-US" w:eastAsia="zh-CN"/>
        </w:rPr>
        <w:t xml:space="preserve">   </w:t>
      </w:r>
      <w:r>
        <w:rPr>
          <w:rFonts w:hint="eastAsia" w:ascii="黑体" w:hAnsi="黑体" w:eastAsia="黑体" w:cs="黑体"/>
          <w:b w:val="0"/>
          <w:bCs/>
          <w:color w:val="auto"/>
          <w:sz w:val="32"/>
          <w:szCs w:val="32"/>
        </w:rPr>
        <w:t>三、</w:t>
      </w:r>
      <w:r>
        <w:rPr>
          <w:rFonts w:hint="eastAsia" w:ascii="黑体" w:hAnsi="黑体" w:eastAsia="黑体" w:cs="黑体"/>
          <w:b w:val="0"/>
          <w:bCs/>
          <w:color w:val="auto"/>
          <w:sz w:val="32"/>
          <w:szCs w:val="32"/>
          <w:lang w:eastAsia="zh-CN"/>
        </w:rPr>
        <w:t>2021</w:t>
      </w:r>
      <w:r>
        <w:rPr>
          <w:rFonts w:hint="eastAsia" w:ascii="黑体" w:hAnsi="黑体" w:eastAsia="黑体" w:cs="黑体"/>
          <w:b w:val="0"/>
          <w:bCs/>
          <w:color w:val="auto"/>
          <w:sz w:val="32"/>
          <w:szCs w:val="32"/>
        </w:rPr>
        <w:t>年度一般公共预算支出情况说明</w:t>
      </w:r>
    </w:p>
    <w:p>
      <w:pPr>
        <w:ind w:firstLine="640" w:firstLineChars="200"/>
        <w:rPr>
          <w:rFonts w:hint="eastAsia"/>
          <w:color w:val="auto"/>
          <w:lang w:val="en-US" w:eastAsia="zh-CN"/>
        </w:rPr>
      </w:pPr>
      <w:r>
        <w:rPr>
          <w:rFonts w:hint="eastAsia" w:ascii="方正仿宋简体" w:hAnsi="仿宋_GB2312" w:eastAsia="方正仿宋简体" w:cs="仿宋_GB2312"/>
          <w:color w:val="auto"/>
          <w:kern w:val="0"/>
          <w:sz w:val="32"/>
          <w:szCs w:val="32"/>
          <w:lang w:val="en-US" w:eastAsia="zh-CN"/>
        </w:rPr>
        <w:t>朗县自然资源局2021年度支出1285.86万元，人员经费424.95万元，公用经费80.02万元，基本支出504.98万元，占39.27%，项目支出占780.88万元，占总支出的60.73%。</w:t>
      </w:r>
    </w:p>
    <w:p>
      <w:pPr>
        <w:rPr>
          <w:rFonts w:hint="eastAsia" w:ascii="黑体" w:hAnsi="黑体" w:eastAsia="黑体" w:cs="黑体"/>
          <w:b w:val="0"/>
          <w:bCs/>
          <w:color w:val="auto"/>
          <w:sz w:val="32"/>
          <w:szCs w:val="32"/>
        </w:rPr>
      </w:pPr>
      <w:r>
        <w:rPr>
          <w:rFonts w:hint="eastAsia" w:ascii="仿宋" w:hAnsi="仿宋" w:eastAsia="仿宋"/>
          <w:b/>
          <w:color w:val="auto"/>
          <w:sz w:val="36"/>
          <w:szCs w:val="36"/>
          <w:lang w:val="en-US" w:eastAsia="zh-CN"/>
        </w:rPr>
        <w:t xml:space="preserve">   </w:t>
      </w:r>
      <w:r>
        <w:rPr>
          <w:rFonts w:hint="eastAsia" w:ascii="黑体" w:hAnsi="黑体" w:eastAsia="黑体" w:cs="黑体"/>
          <w:b w:val="0"/>
          <w:bCs/>
          <w:color w:val="auto"/>
          <w:sz w:val="32"/>
          <w:szCs w:val="32"/>
        </w:rPr>
        <w:t>四、</w:t>
      </w:r>
      <w:r>
        <w:rPr>
          <w:rFonts w:hint="eastAsia" w:ascii="黑体" w:hAnsi="黑体" w:eastAsia="黑体" w:cs="黑体"/>
          <w:b w:val="0"/>
          <w:bCs/>
          <w:color w:val="auto"/>
          <w:sz w:val="32"/>
          <w:szCs w:val="32"/>
          <w:lang w:eastAsia="zh-CN"/>
        </w:rPr>
        <w:t>2021</w:t>
      </w:r>
      <w:r>
        <w:rPr>
          <w:rFonts w:hint="eastAsia" w:ascii="黑体" w:hAnsi="黑体" w:eastAsia="黑体" w:cs="黑体"/>
          <w:b w:val="0"/>
          <w:bCs/>
          <w:color w:val="auto"/>
          <w:sz w:val="32"/>
          <w:szCs w:val="32"/>
        </w:rPr>
        <w:t>年度一般公共预算财政拨款支出决算情况说明</w:t>
      </w:r>
    </w:p>
    <w:p>
      <w:pPr>
        <w:ind w:firstLine="640" w:firstLineChars="200"/>
        <w:rPr>
          <w:rFonts w:hint="eastAsia" w:ascii="方正仿宋简体" w:hAnsi="仿宋_GB2312" w:eastAsia="方正仿宋简体" w:cs="仿宋_GB2312"/>
          <w:color w:val="auto"/>
          <w:kern w:val="0"/>
          <w:sz w:val="32"/>
          <w:szCs w:val="32"/>
          <w:lang w:val="en-US" w:eastAsia="zh-CN"/>
        </w:rPr>
      </w:pPr>
      <w:r>
        <w:rPr>
          <w:rFonts w:hint="eastAsia" w:ascii="方正仿宋简体" w:hAnsi="仿宋_GB2312" w:eastAsia="方正仿宋简体" w:cs="仿宋_GB2312"/>
          <w:color w:val="auto"/>
          <w:kern w:val="0"/>
          <w:sz w:val="32"/>
          <w:szCs w:val="32"/>
          <w:lang w:val="en-US" w:eastAsia="zh-CN"/>
        </w:rPr>
        <w:t>（一）财政拨款支出决算总体情况</w:t>
      </w:r>
    </w:p>
    <w:p>
      <w:pPr>
        <w:ind w:firstLine="640" w:firstLineChars="200"/>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color w:val="auto"/>
          <w:kern w:val="0"/>
          <w:sz w:val="32"/>
          <w:szCs w:val="32"/>
          <w:lang w:val="en-US" w:eastAsia="zh-CN"/>
        </w:rPr>
        <w:t>朗县自然资源局2021年度财政拨款支出总决算1285.86万元</w:t>
      </w:r>
      <w:r>
        <w:rPr>
          <w:rFonts w:hint="eastAsia" w:ascii="方正仿宋简体" w:hAnsi="仿宋_GB2312" w:eastAsia="方正仿宋简体" w:cs="仿宋_GB2312"/>
          <w:color w:val="auto"/>
          <w:kern w:val="0"/>
          <w:sz w:val="32"/>
          <w:szCs w:val="32"/>
          <w:lang w:eastAsia="zh-CN"/>
        </w:rPr>
        <w:t>。</w:t>
      </w:r>
    </w:p>
    <w:p>
      <w:pPr>
        <w:numPr>
          <w:ilvl w:val="0"/>
          <w:numId w:val="1"/>
        </w:numPr>
        <w:ind w:firstLine="640" w:firstLineChars="200"/>
        <w:rPr>
          <w:rFonts w:hint="eastAsia" w:ascii="方正仿宋简体" w:hAnsi="仿宋_GB2312" w:eastAsia="方正仿宋简体" w:cs="仿宋_GB2312"/>
          <w:color w:val="auto"/>
          <w:kern w:val="0"/>
          <w:sz w:val="32"/>
          <w:szCs w:val="32"/>
          <w:lang w:val="en-US" w:eastAsia="zh-CN"/>
        </w:rPr>
      </w:pPr>
      <w:r>
        <w:rPr>
          <w:rFonts w:hint="eastAsia" w:ascii="方正仿宋简体" w:hAnsi="仿宋_GB2312" w:eastAsia="方正仿宋简体" w:cs="仿宋_GB2312"/>
          <w:kern w:val="0"/>
          <w:sz w:val="32"/>
          <w:szCs w:val="32"/>
          <w:lang w:val="en-US" w:eastAsia="zh-CN"/>
        </w:rPr>
        <w:t>财政拨款支出决算结构情况</w:t>
      </w:r>
    </w:p>
    <w:p>
      <w:pPr>
        <w:numPr>
          <w:ilvl w:val="0"/>
          <w:numId w:val="0"/>
        </w:numPr>
        <w:ind w:firstLine="320" w:firstLineChars="100"/>
        <w:rPr>
          <w:rFonts w:hint="eastAsia" w:ascii="方正仿宋简体" w:hAnsi="仿宋_GB2312" w:eastAsia="方正仿宋简体" w:cs="仿宋_GB2312"/>
          <w:color w:val="auto"/>
          <w:kern w:val="0"/>
          <w:sz w:val="32"/>
          <w:szCs w:val="32"/>
          <w:lang w:val="en-US" w:eastAsia="zh-CN"/>
        </w:rPr>
      </w:pPr>
      <w:r>
        <w:rPr>
          <w:rFonts w:hint="eastAsia" w:ascii="方正仿宋简体" w:hAnsi="仿宋_GB2312" w:eastAsia="方正仿宋简体" w:cs="仿宋_GB2312"/>
          <w:color w:val="auto"/>
          <w:kern w:val="0"/>
          <w:sz w:val="32"/>
          <w:szCs w:val="32"/>
          <w:lang w:val="en-US" w:eastAsia="zh-CN"/>
        </w:rPr>
        <w:t xml:space="preserve">  基本支出、社会保障和就业支出40.65万元，占8.05%；卫生和健康支出28.94万元，占5.73 %；</w:t>
      </w:r>
      <w:r>
        <w:rPr>
          <w:rFonts w:hint="eastAsia" w:ascii="方正仿宋简体" w:hAnsi="仿宋_GB2312" w:eastAsia="方正仿宋简体" w:cs="仿宋_GB2312"/>
          <w:b w:val="0"/>
          <w:bCs w:val="0"/>
          <w:color w:val="auto"/>
          <w:kern w:val="0"/>
          <w:sz w:val="32"/>
          <w:szCs w:val="32"/>
          <w:lang w:val="en-US" w:eastAsia="zh-CN"/>
        </w:rPr>
        <w:t>农林水支出668.12万元，</w:t>
      </w:r>
      <w:r>
        <w:rPr>
          <w:rFonts w:hint="eastAsia" w:ascii="方正仿宋简体" w:hAnsi="仿宋_GB2312" w:eastAsia="方正仿宋简体" w:cs="仿宋_GB2312"/>
          <w:color w:val="auto"/>
          <w:kern w:val="0"/>
          <w:sz w:val="32"/>
          <w:szCs w:val="32"/>
          <w:lang w:val="en-US" w:eastAsia="zh-CN"/>
        </w:rPr>
        <w:t>占75.58 %；自然资源海洋气象等支出342.25万元，占67.77%；住房保障支出33.06万元，占6.55%，灾害防治及应急管理支出172.84万元，占11.90%。</w:t>
      </w:r>
    </w:p>
    <w:p>
      <w:pPr>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kern w:val="0"/>
          <w:sz w:val="32"/>
          <w:szCs w:val="32"/>
          <w:lang w:val="en-US" w:eastAsia="zh-CN"/>
        </w:rPr>
        <w:t xml:space="preserve">    （三）财政拨款支出决算具体情况</w:t>
      </w:r>
    </w:p>
    <w:p>
      <w:pPr>
        <w:ind w:firstLine="640" w:firstLineChars="200"/>
        <w:rPr>
          <w:rFonts w:hint="eastAsia" w:ascii="方正仿宋简体" w:hAnsi="仿宋_GB2312" w:eastAsia="方正仿宋简体" w:cs="仿宋_GB2312"/>
          <w:color w:val="auto"/>
          <w:kern w:val="0"/>
          <w:sz w:val="32"/>
          <w:szCs w:val="32"/>
          <w:lang w:val="en-US" w:eastAsia="zh-CN"/>
        </w:rPr>
      </w:pPr>
      <w:r>
        <w:rPr>
          <w:rFonts w:hint="eastAsia" w:ascii="方正仿宋简体" w:hAnsi="仿宋_GB2312" w:eastAsia="方正仿宋简体" w:cs="仿宋_GB2312"/>
          <w:kern w:val="0"/>
          <w:sz w:val="32"/>
          <w:szCs w:val="32"/>
          <w:lang w:val="en-US" w:eastAsia="zh-CN"/>
        </w:rPr>
        <w:t xml:space="preserve"> </w:t>
      </w:r>
      <w:r>
        <w:rPr>
          <w:rFonts w:hint="eastAsia" w:ascii="方正仿宋简体" w:hAnsi="仿宋_GB2312" w:eastAsia="方正仿宋简体" w:cs="仿宋_GB2312"/>
          <w:color w:val="auto"/>
          <w:kern w:val="0"/>
          <w:sz w:val="32"/>
          <w:szCs w:val="32"/>
          <w:lang w:val="en-US" w:eastAsia="zh-CN"/>
        </w:rPr>
        <w:t>1、社会保障和就业支出（类）行政事业单位养老支出（款）机关事业单位机关养老保险缴费支出（项）39.58万元、财政对其他社会保险基金的补助（款）财政对失业保险基金的补助（项）0.58万元、财政对工伤保险基金的补助（项）0.49万元。</w:t>
      </w:r>
    </w:p>
    <w:p>
      <w:pPr>
        <w:ind w:firstLine="640" w:firstLineChars="200"/>
        <w:rPr>
          <w:rFonts w:hint="eastAsia" w:ascii="方正仿宋简体" w:hAnsi="仿宋_GB2312" w:eastAsia="方正仿宋简体" w:cs="仿宋_GB2312"/>
          <w:b w:val="0"/>
          <w:bCs w:val="0"/>
          <w:color w:val="auto"/>
          <w:kern w:val="0"/>
          <w:sz w:val="32"/>
          <w:szCs w:val="32"/>
          <w:lang w:val="en-US" w:eastAsia="zh-CN"/>
        </w:rPr>
      </w:pPr>
      <w:r>
        <w:rPr>
          <w:rFonts w:hint="eastAsia" w:ascii="方正仿宋简体" w:hAnsi="仿宋_GB2312" w:eastAsia="方正仿宋简体" w:cs="仿宋_GB2312"/>
          <w:b w:val="0"/>
          <w:bCs w:val="0"/>
          <w:color w:val="auto"/>
          <w:kern w:val="0"/>
          <w:sz w:val="32"/>
          <w:szCs w:val="32"/>
          <w:lang w:val="en-US" w:eastAsia="zh-CN"/>
        </w:rPr>
        <w:t xml:space="preserve"> 2、卫生健康支出（类）行政事业单位医疗（款）公务员医疗补助（项）7.42万元、财政对基本医疗保险基金的补助（款）财政对职工基本医疗保险基金的补助（项）21.52万元。</w:t>
      </w:r>
    </w:p>
    <w:p>
      <w:pPr>
        <w:rPr>
          <w:rFonts w:hint="eastAsia" w:ascii="方正仿宋简体" w:hAnsi="仿宋_GB2312" w:eastAsia="方正仿宋简体" w:cs="仿宋_GB2312"/>
          <w:b w:val="0"/>
          <w:bCs w:val="0"/>
          <w:color w:val="auto"/>
          <w:kern w:val="0"/>
          <w:sz w:val="32"/>
          <w:szCs w:val="32"/>
          <w:lang w:val="en-US" w:eastAsia="zh-CN"/>
        </w:rPr>
      </w:pPr>
      <w:r>
        <w:rPr>
          <w:rFonts w:hint="eastAsia" w:ascii="方正仿宋简体" w:hAnsi="仿宋_GB2312" w:eastAsia="方正仿宋简体" w:cs="仿宋_GB2312"/>
          <w:b w:val="0"/>
          <w:bCs w:val="0"/>
          <w:color w:val="auto"/>
          <w:kern w:val="0"/>
          <w:sz w:val="32"/>
          <w:szCs w:val="32"/>
          <w:lang w:val="en-US" w:eastAsia="zh-CN"/>
        </w:rPr>
        <w:t xml:space="preserve">     3、农林水支出（类）其他农林水支出（款）其他农林水支出（项）668.12万元。</w:t>
      </w:r>
    </w:p>
    <w:p>
      <w:pPr>
        <w:ind w:firstLine="640"/>
        <w:rPr>
          <w:rFonts w:hint="eastAsia" w:ascii="方正仿宋简体" w:hAnsi="仿宋_GB2312" w:eastAsia="方正仿宋简体" w:cs="仿宋_GB2312"/>
          <w:b w:val="0"/>
          <w:bCs w:val="0"/>
          <w:color w:val="auto"/>
          <w:kern w:val="0"/>
          <w:sz w:val="32"/>
          <w:szCs w:val="32"/>
          <w:lang w:val="en-US" w:eastAsia="zh-CN"/>
        </w:rPr>
      </w:pPr>
      <w:r>
        <w:rPr>
          <w:rFonts w:hint="eastAsia" w:ascii="方正仿宋简体" w:hAnsi="仿宋_GB2312" w:eastAsia="方正仿宋简体" w:cs="仿宋_GB2312"/>
          <w:b w:val="0"/>
          <w:bCs w:val="0"/>
          <w:color w:val="auto"/>
          <w:kern w:val="0"/>
          <w:sz w:val="32"/>
          <w:szCs w:val="32"/>
          <w:lang w:val="en-US" w:eastAsia="zh-CN"/>
        </w:rPr>
        <w:t xml:space="preserve"> 4、自然资源海洋气象等支出（类）自然资源事物（款）行政运行（项）334.67万元、一般行政管理事物（项）7.56万元。</w:t>
      </w:r>
    </w:p>
    <w:p>
      <w:pPr>
        <w:rPr>
          <w:rFonts w:hint="eastAsia" w:ascii="方正仿宋简体" w:hAnsi="仿宋_GB2312" w:eastAsia="方正仿宋简体" w:cs="仿宋_GB2312"/>
          <w:b w:val="0"/>
          <w:bCs w:val="0"/>
          <w:color w:val="auto"/>
          <w:kern w:val="0"/>
          <w:sz w:val="32"/>
          <w:szCs w:val="32"/>
          <w:lang w:val="en-US" w:eastAsia="zh-CN"/>
        </w:rPr>
      </w:pPr>
      <w:r>
        <w:rPr>
          <w:rFonts w:hint="eastAsia" w:ascii="方正仿宋简体" w:hAnsi="仿宋_GB2312" w:eastAsia="方正仿宋简体" w:cs="仿宋_GB2312"/>
          <w:b w:val="0"/>
          <w:bCs w:val="0"/>
          <w:color w:val="auto"/>
          <w:kern w:val="0"/>
          <w:sz w:val="32"/>
          <w:szCs w:val="32"/>
          <w:lang w:val="en-US" w:eastAsia="zh-CN"/>
        </w:rPr>
        <w:t xml:space="preserve">     5、住房保障支出（类）住房改革支出（款）住房公积金（项）33.06万元。                                     6、灾害防治及应急管理支出（类）自然灾害防治（款）地质灾害防治（项）172.84万元。</w:t>
      </w:r>
    </w:p>
    <w:p>
      <w:pPr>
        <w:rPr>
          <w:rFonts w:hint="eastAsia" w:ascii="方正仿宋简体" w:hAnsi="仿宋_GB2312" w:eastAsia="方正仿宋简体" w:cs="仿宋_GB2312"/>
          <w:b w:val="0"/>
          <w:bCs w:val="0"/>
          <w:color w:val="auto"/>
          <w:kern w:val="0"/>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仿宋" w:hAnsi="仿宋" w:eastAsia="仿宋"/>
          <w:b/>
          <w:bCs w:val="0"/>
          <w:color w:val="auto"/>
          <w:sz w:val="36"/>
          <w:szCs w:val="36"/>
        </w:rPr>
      </w:pPr>
      <w:r>
        <w:rPr>
          <w:rFonts w:hint="eastAsia" w:ascii="方正仿宋简体" w:hAnsi="仿宋_GB2312" w:eastAsia="方正仿宋简体" w:cs="仿宋_GB2312"/>
          <w:color w:val="auto"/>
          <w:kern w:val="0"/>
          <w:sz w:val="32"/>
          <w:szCs w:val="32"/>
          <w:lang w:val="en-US" w:eastAsia="zh-CN"/>
        </w:rPr>
        <w:t xml:space="preserve">              </w:t>
      </w:r>
      <w:r>
        <w:rPr>
          <w:rFonts w:hint="eastAsia" w:ascii="仿宋" w:hAnsi="仿宋" w:eastAsia="仿宋"/>
          <w:b/>
          <w:color w:val="auto"/>
          <w:sz w:val="36"/>
          <w:szCs w:val="36"/>
          <w:lang w:val="en-US" w:eastAsia="zh-CN"/>
        </w:rPr>
        <w:t xml:space="preserve"> </w:t>
      </w:r>
      <w:r>
        <w:rPr>
          <w:rFonts w:hint="eastAsia" w:ascii="黑体" w:hAnsi="黑体" w:eastAsia="黑体" w:cs="黑体"/>
          <w:b/>
          <w:bCs w:val="0"/>
          <w:color w:val="auto"/>
          <w:sz w:val="36"/>
          <w:szCs w:val="36"/>
        </w:rPr>
        <w:t>五、</w:t>
      </w:r>
      <w:r>
        <w:rPr>
          <w:rFonts w:hint="eastAsia" w:ascii="黑体" w:hAnsi="黑体" w:eastAsia="黑体" w:cs="黑体"/>
          <w:b/>
          <w:bCs w:val="0"/>
          <w:color w:val="auto"/>
          <w:sz w:val="36"/>
          <w:szCs w:val="36"/>
          <w:lang w:eastAsia="zh-CN"/>
        </w:rPr>
        <w:t>2021</w:t>
      </w:r>
      <w:r>
        <w:rPr>
          <w:rFonts w:hint="eastAsia" w:ascii="黑体" w:hAnsi="黑体" w:eastAsia="黑体" w:cs="黑体"/>
          <w:b/>
          <w:bCs w:val="0"/>
          <w:color w:val="auto"/>
          <w:sz w:val="36"/>
          <w:szCs w:val="36"/>
        </w:rPr>
        <w:t>年度“三公”经费预决算情况说明</w:t>
      </w:r>
    </w:p>
    <w:p>
      <w:pPr>
        <w:spacing w:before="312" w:beforeLines="100" w:after="312" w:afterLines="100"/>
        <w:jc w:val="center"/>
        <w:rPr>
          <w:rFonts w:hint="eastAsia" w:ascii="方正小标宋简体" w:hAnsi="方正小标宋简体" w:eastAsia="方正小标宋简体" w:cs="方正小标宋简体"/>
          <w:bCs/>
          <w:color w:val="auto"/>
          <w:kern w:val="0"/>
          <w:sz w:val="36"/>
          <w:szCs w:val="36"/>
        </w:rPr>
      </w:pPr>
      <w:r>
        <w:rPr>
          <w:rFonts w:hint="eastAsia" w:ascii="仿宋" w:hAnsi="仿宋" w:eastAsia="仿宋"/>
          <w:color w:val="auto"/>
          <w:sz w:val="36"/>
          <w:szCs w:val="36"/>
        </w:rPr>
        <w:t xml:space="preserve">  </w:t>
      </w:r>
      <w:r>
        <w:rPr>
          <w:rFonts w:hint="eastAsia" w:ascii="方正小标宋简体" w:hAnsi="方正小标宋简体" w:eastAsia="方正小标宋简体" w:cs="方正小标宋简体"/>
          <w:color w:val="auto"/>
          <w:sz w:val="36"/>
          <w:szCs w:val="36"/>
        </w:rPr>
        <w:t>朗县自然资源局</w:t>
      </w:r>
      <w:r>
        <w:rPr>
          <w:rFonts w:hint="eastAsia" w:ascii="方正小标宋简体" w:hAnsi="方正小标宋简体" w:eastAsia="方正小标宋简体" w:cs="方正小标宋简体"/>
          <w:bCs/>
          <w:color w:val="auto"/>
          <w:kern w:val="0"/>
          <w:sz w:val="36"/>
          <w:szCs w:val="36"/>
          <w:lang w:eastAsia="zh-CN"/>
        </w:rPr>
        <w:t>2021</w:t>
      </w:r>
      <w:r>
        <w:rPr>
          <w:rFonts w:hint="eastAsia" w:ascii="方正小标宋简体" w:hAnsi="方正小标宋简体" w:eastAsia="方正小标宋简体" w:cs="方正小标宋简体"/>
          <w:bCs/>
          <w:color w:val="auto"/>
          <w:kern w:val="0"/>
          <w:sz w:val="36"/>
          <w:szCs w:val="36"/>
        </w:rPr>
        <w:t>年“三公”经费情况表</w:t>
      </w:r>
    </w:p>
    <w:p>
      <w:pPr>
        <w:ind w:right="120"/>
        <w:jc w:val="right"/>
        <w:rPr>
          <w:rFonts w:ascii="仿宋" w:hAnsi="仿宋" w:eastAsia="仿宋"/>
          <w:color w:val="auto"/>
          <w:sz w:val="28"/>
          <w:szCs w:val="28"/>
        </w:rPr>
      </w:pPr>
      <w:r>
        <w:rPr>
          <w:rFonts w:hint="eastAsia" w:ascii="仿宋" w:hAnsi="仿宋" w:eastAsia="仿宋" w:cs="宋体"/>
          <w:color w:val="auto"/>
          <w:kern w:val="0"/>
          <w:sz w:val="28"/>
          <w:szCs w:val="28"/>
        </w:rPr>
        <w:t>单位：万元</w:t>
      </w:r>
    </w:p>
    <w:tbl>
      <w:tblPr>
        <w:tblStyle w:val="3"/>
        <w:tblW w:w="8969" w:type="dxa"/>
        <w:jc w:val="center"/>
        <w:tblLayout w:type="fixed"/>
        <w:tblCellMar>
          <w:top w:w="0" w:type="dxa"/>
          <w:left w:w="108" w:type="dxa"/>
          <w:bottom w:w="0" w:type="dxa"/>
          <w:right w:w="108" w:type="dxa"/>
        </w:tblCellMar>
      </w:tblPr>
      <w:tblGrid>
        <w:gridCol w:w="4160"/>
        <w:gridCol w:w="1417"/>
        <w:gridCol w:w="1549"/>
        <w:gridCol w:w="1843"/>
      </w:tblGrid>
      <w:tr>
        <w:tblPrEx>
          <w:tblCellMar>
            <w:top w:w="0" w:type="dxa"/>
            <w:left w:w="108" w:type="dxa"/>
            <w:bottom w:w="0" w:type="dxa"/>
            <w:right w:w="108" w:type="dxa"/>
          </w:tblCellMar>
        </w:tblPrEx>
        <w:trPr>
          <w:trHeight w:val="567" w:hRule="exact"/>
          <w:jc w:val="center"/>
        </w:trPr>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预算数</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决算数</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备注</w:t>
            </w:r>
          </w:p>
        </w:tc>
      </w:tr>
      <w:tr>
        <w:tblPrEx>
          <w:tblCellMar>
            <w:top w:w="0" w:type="dxa"/>
            <w:left w:w="108" w:type="dxa"/>
            <w:bottom w:w="0" w:type="dxa"/>
            <w:right w:w="108" w:type="dxa"/>
          </w:tblCellMar>
        </w:tblPrEx>
        <w:trPr>
          <w:trHeight w:val="45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合计</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8.18</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5.93</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1.因公出国（境）费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482"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2.公务接待费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0.9</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0</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452"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3.公务用车经费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7.28</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5.93</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其中：（1）公务用车运行维护费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7.28</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5.93</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r>
      <w:tr>
        <w:tblPrEx>
          <w:tblCellMar>
            <w:top w:w="0" w:type="dxa"/>
            <w:left w:w="108" w:type="dxa"/>
            <w:bottom w:w="0" w:type="dxa"/>
            <w:right w:w="108" w:type="dxa"/>
          </w:tblCellMar>
        </w:tblPrEx>
        <w:trPr>
          <w:trHeight w:val="477" w:hRule="exact"/>
          <w:jc w:val="center"/>
        </w:trPr>
        <w:tc>
          <w:tcPr>
            <w:tcW w:w="41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（2）公务用车购置</w:t>
            </w:r>
          </w:p>
        </w:tc>
        <w:tc>
          <w:tcPr>
            <w:tcW w:w="1417"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r>
    </w:tbl>
    <w:p>
      <w:pPr>
        <w:rPr>
          <w:rFonts w:hint="eastAsia" w:ascii="仿宋" w:hAnsi="仿宋" w:eastAsia="仿宋"/>
          <w:b/>
          <w:color w:val="auto"/>
          <w:sz w:val="32"/>
          <w:szCs w:val="32"/>
        </w:rPr>
      </w:pPr>
      <w:r>
        <w:rPr>
          <w:rFonts w:hint="eastAsia" w:ascii="方正仿宋简体" w:hAnsi="仿宋_GB2312" w:eastAsia="方正仿宋简体" w:cs="仿宋_GB2312"/>
          <w:color w:val="auto"/>
          <w:kern w:val="0"/>
          <w:sz w:val="32"/>
          <w:szCs w:val="32"/>
          <w:lang w:val="en-US" w:eastAsia="zh-CN"/>
        </w:rPr>
        <w:t xml:space="preserve">     </w:t>
      </w:r>
      <w:r>
        <w:rPr>
          <w:rFonts w:hint="eastAsia" w:ascii="方正仿宋简体" w:hAnsi="仿宋_GB2312" w:eastAsia="方正仿宋简体" w:cs="仿宋_GB2312"/>
          <w:color w:val="auto"/>
          <w:kern w:val="0"/>
          <w:sz w:val="32"/>
          <w:szCs w:val="32"/>
          <w:lang w:eastAsia="zh-CN"/>
        </w:rPr>
        <w:t>2021</w:t>
      </w:r>
      <w:r>
        <w:rPr>
          <w:rFonts w:hint="eastAsia" w:ascii="方正仿宋简体" w:hAnsi="仿宋_GB2312" w:eastAsia="方正仿宋简体" w:cs="仿宋_GB2312"/>
          <w:color w:val="auto"/>
          <w:kern w:val="0"/>
          <w:sz w:val="32"/>
          <w:szCs w:val="32"/>
        </w:rPr>
        <w:t>年度，我局“三公”经费</w:t>
      </w:r>
      <w:r>
        <w:rPr>
          <w:rFonts w:hint="eastAsia" w:ascii="方正仿宋简体" w:hAnsi="仿宋_GB2312" w:eastAsia="方正仿宋简体" w:cs="仿宋_GB2312"/>
          <w:color w:val="auto"/>
          <w:kern w:val="0"/>
          <w:sz w:val="32"/>
          <w:szCs w:val="32"/>
          <w:lang w:eastAsia="zh-CN"/>
        </w:rPr>
        <w:t>预算</w:t>
      </w:r>
      <w:r>
        <w:rPr>
          <w:rFonts w:hint="eastAsia" w:ascii="方正仿宋简体" w:hAnsi="仿宋_GB2312" w:eastAsia="方正仿宋简体" w:cs="仿宋_GB2312"/>
          <w:color w:val="auto"/>
          <w:kern w:val="0"/>
          <w:sz w:val="32"/>
          <w:szCs w:val="32"/>
          <w:lang w:val="en-US" w:eastAsia="zh-CN"/>
        </w:rPr>
        <w:t>8.18万元，决算5.93</w:t>
      </w:r>
      <w:r>
        <w:rPr>
          <w:rFonts w:hint="eastAsia" w:ascii="方正仿宋简体" w:hAnsi="仿宋_GB2312" w:eastAsia="方正仿宋简体" w:cs="仿宋_GB2312"/>
          <w:color w:val="auto"/>
          <w:kern w:val="0"/>
          <w:sz w:val="32"/>
          <w:szCs w:val="32"/>
        </w:rPr>
        <w:t>万元，其中:</w:t>
      </w:r>
      <w:r>
        <w:rPr>
          <w:rFonts w:hint="eastAsia" w:ascii="方正仿宋简体" w:hAnsi="仿宋_GB2312" w:eastAsia="方正仿宋简体" w:cs="仿宋_GB2312"/>
          <w:color w:val="auto"/>
          <w:kern w:val="0"/>
          <w:sz w:val="32"/>
          <w:szCs w:val="32"/>
          <w:lang w:val="en-US" w:eastAsia="zh-CN"/>
        </w:rPr>
        <w:t>2021年公务接待</w:t>
      </w:r>
      <w:r>
        <w:rPr>
          <w:rFonts w:hint="eastAsia" w:ascii="方正仿宋简体" w:hAnsi="仿宋_GB2312" w:eastAsia="方正仿宋简体" w:cs="仿宋_GB2312"/>
          <w:color w:val="auto"/>
          <w:kern w:val="0"/>
          <w:sz w:val="32"/>
          <w:szCs w:val="32"/>
          <w:lang w:eastAsia="zh-CN"/>
        </w:rPr>
        <w:t>决算数</w:t>
      </w:r>
      <w:r>
        <w:rPr>
          <w:rFonts w:hint="eastAsia" w:ascii="方正仿宋简体" w:hAnsi="仿宋_GB2312" w:eastAsia="方正仿宋简体" w:cs="仿宋_GB2312"/>
          <w:color w:val="auto"/>
          <w:kern w:val="0"/>
          <w:sz w:val="32"/>
          <w:szCs w:val="32"/>
          <w:lang w:val="en-US" w:eastAsia="zh-CN"/>
        </w:rPr>
        <w:t>0万元，无接待人数、无批次,与2020年公务接待</w:t>
      </w:r>
      <w:r>
        <w:rPr>
          <w:rFonts w:hint="eastAsia" w:ascii="方正仿宋简体" w:hAnsi="仿宋_GB2312" w:eastAsia="方正仿宋简体" w:cs="仿宋_GB2312"/>
          <w:color w:val="auto"/>
          <w:kern w:val="0"/>
          <w:sz w:val="32"/>
          <w:szCs w:val="32"/>
          <w:lang w:eastAsia="zh-CN"/>
        </w:rPr>
        <w:t>决算</w:t>
      </w:r>
      <w:r>
        <w:rPr>
          <w:rFonts w:hint="eastAsia" w:ascii="方正仿宋简体" w:hAnsi="仿宋_GB2312" w:eastAsia="方正仿宋简体" w:cs="仿宋_GB2312"/>
          <w:color w:val="auto"/>
          <w:kern w:val="0"/>
          <w:sz w:val="32"/>
          <w:szCs w:val="32"/>
          <w:lang w:val="en-US" w:eastAsia="zh-CN"/>
        </w:rPr>
        <w:t>数0.23万元，减少100%。减少主要原因为严格贯彻落实八项规定精神，进一步压减公务接待费支出。2021年公务用车经费7.28万元、比2020年决算数7.16万元，增加0.12万元，增加了1.67%。增加主要原因为我局今年新增业务，下乡次数增加。</w:t>
      </w:r>
    </w:p>
    <w:p>
      <w:pPr>
        <w:ind w:firstLine="705" w:firstLineChars="196"/>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六、</w:t>
      </w:r>
      <w:r>
        <w:rPr>
          <w:rFonts w:hint="eastAsia" w:ascii="黑体" w:hAnsi="黑体" w:eastAsia="黑体" w:cs="黑体"/>
          <w:b w:val="0"/>
          <w:bCs w:val="0"/>
          <w:color w:val="auto"/>
          <w:sz w:val="36"/>
          <w:szCs w:val="36"/>
          <w:lang w:eastAsia="zh-CN"/>
        </w:rPr>
        <w:t>2021</w:t>
      </w:r>
      <w:r>
        <w:rPr>
          <w:rFonts w:hint="eastAsia" w:ascii="黑体" w:hAnsi="黑体" w:eastAsia="黑体" w:cs="黑体"/>
          <w:b w:val="0"/>
          <w:bCs w:val="0"/>
          <w:color w:val="auto"/>
          <w:sz w:val="36"/>
          <w:szCs w:val="36"/>
        </w:rPr>
        <w:t>年度机关运行情况说明</w:t>
      </w:r>
    </w:p>
    <w:p>
      <w:pPr>
        <w:ind w:firstLine="640"/>
        <w:rPr>
          <w:rFonts w:hint="eastAsia" w:ascii="方正仿宋简体" w:hAnsi="仿宋_GB2312" w:eastAsia="方正仿宋简体" w:cs="仿宋_GB2312"/>
          <w:color w:val="auto"/>
          <w:kern w:val="0"/>
          <w:sz w:val="32"/>
          <w:szCs w:val="32"/>
          <w:lang w:val="en-US" w:eastAsia="zh-CN"/>
        </w:rPr>
      </w:pPr>
      <w:r>
        <w:rPr>
          <w:rFonts w:hint="eastAsia" w:ascii="方正仿宋简体" w:hAnsi="仿宋_GB2312" w:eastAsia="方正仿宋简体" w:cs="仿宋_GB2312"/>
          <w:kern w:val="0"/>
          <w:sz w:val="32"/>
          <w:szCs w:val="32"/>
          <w:lang w:val="en-US" w:eastAsia="zh-CN"/>
        </w:rPr>
        <w:t>（一）2021年本部门（含下属单位）履行一般行政事业管理职能、维持机关运行，用一般公用预算安排的行政经费，</w:t>
      </w:r>
      <w:r>
        <w:rPr>
          <w:rFonts w:hint="eastAsia" w:ascii="方正仿宋简体" w:hAnsi="仿宋_GB2312" w:eastAsia="方正仿宋简体" w:cs="仿宋_GB2312"/>
          <w:color w:val="auto"/>
          <w:kern w:val="0"/>
          <w:sz w:val="32"/>
          <w:szCs w:val="32"/>
          <w:lang w:val="en-US" w:eastAsia="zh-CN"/>
        </w:rPr>
        <w:t>合计80.02万元。</w:t>
      </w:r>
    </w:p>
    <w:p>
      <w:pPr>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kern w:val="0"/>
          <w:sz w:val="32"/>
          <w:szCs w:val="32"/>
          <w:lang w:val="en-US" w:eastAsia="zh-CN"/>
        </w:rPr>
        <w:t xml:space="preserve">    （二）机关运行经费预算的内容</w:t>
      </w:r>
    </w:p>
    <w:p>
      <w:pPr>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kern w:val="0"/>
          <w:sz w:val="32"/>
          <w:szCs w:val="32"/>
          <w:lang w:val="en-US" w:eastAsia="zh-CN"/>
        </w:rPr>
        <w:t xml:space="preserve">     行政经费由基本支出和一般行政支出两部分组成；</w:t>
      </w:r>
    </w:p>
    <w:p>
      <w:pPr>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kern w:val="0"/>
          <w:sz w:val="32"/>
          <w:szCs w:val="32"/>
          <w:lang w:val="en-US" w:eastAsia="zh-CN"/>
        </w:rPr>
        <w:t xml:space="preserve">     1.基本支出，包括两部分；一部分是人员经费，具体包括工资、津贴及奖金、医疗费、住房补贴等；二是公用经费，具体包括办公及印刷费、水电费、邮电费、交通费、差旅费、会议费、物业管理费、日常维修费、一般购置费等。</w:t>
      </w:r>
    </w:p>
    <w:p>
      <w:pPr>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kern w:val="0"/>
          <w:sz w:val="32"/>
          <w:szCs w:val="32"/>
          <w:lang w:val="en-US" w:eastAsia="zh-CN"/>
        </w:rPr>
        <w:t xml:space="preserve">    2.一般行政管理项目支出，包括招待费、会议费、购置费（包括设备、计算机等）、专用材料费、干部培训费、信息网络运行维护费等用于一般行政管理事务方面的项目支出。</w:t>
      </w:r>
    </w:p>
    <w:p>
      <w:pPr>
        <w:ind w:firstLine="627" w:firstLineChars="196"/>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政府采购情况说明</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sz w:val="32"/>
          <w:szCs w:val="32"/>
          <w:lang w:val="en-US" w:eastAsia="zh-CN"/>
        </w:rPr>
        <w:t>2021年12月31日止无政府性采购。</w:t>
      </w:r>
    </w:p>
    <w:p>
      <w:pPr>
        <w:ind w:firstLine="627" w:firstLineChars="196"/>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八、国有资产占有使用情况</w:t>
      </w:r>
    </w:p>
    <w:p>
      <w:pPr>
        <w:ind w:firstLine="640"/>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kern w:val="0"/>
          <w:sz w:val="32"/>
          <w:szCs w:val="32"/>
          <w:lang w:val="en-US" w:eastAsia="zh-CN"/>
        </w:rPr>
        <w:t>截止2021年12月31日朗县自然资源局无国有资产占用情况。</w:t>
      </w:r>
    </w:p>
    <w:p>
      <w:pPr>
        <w:numPr>
          <w:ilvl w:val="0"/>
          <w:numId w:val="2"/>
        </w:numPr>
        <w:ind w:firstLine="627" w:firstLineChars="196"/>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重点、重大项目评价结果</w:t>
      </w:r>
      <w:r>
        <w:rPr>
          <w:rFonts w:hint="eastAsia" w:ascii="黑体" w:hAnsi="黑体" w:eastAsia="黑体" w:cs="黑体"/>
          <w:b w:val="0"/>
          <w:bCs/>
          <w:color w:val="auto"/>
          <w:sz w:val="32"/>
          <w:szCs w:val="32"/>
          <w:lang w:eastAsia="zh-CN"/>
        </w:rPr>
        <w:t>等</w:t>
      </w:r>
      <w:r>
        <w:rPr>
          <w:rFonts w:hint="eastAsia" w:ascii="黑体" w:hAnsi="黑体" w:eastAsia="黑体" w:cs="黑体"/>
          <w:b w:val="0"/>
          <w:bCs/>
          <w:color w:val="auto"/>
          <w:sz w:val="32"/>
          <w:szCs w:val="32"/>
        </w:rPr>
        <w:t>预算绩效管理工作开展情况说明</w:t>
      </w:r>
    </w:p>
    <w:p>
      <w:pPr>
        <w:ind w:firstLine="640"/>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pPr>
      <w:r>
        <w:rPr>
          <w:rFonts w:hint="eastAsia" w:ascii="方正仿宋简体" w:hAnsi="仿宋_GB2312" w:eastAsia="方正仿宋简体" w:cs="仿宋_GB2312"/>
          <w:kern w:val="0"/>
          <w:sz w:val="32"/>
          <w:szCs w:val="32"/>
          <w:lang w:val="en-US" w:eastAsia="zh-CN"/>
        </w:rPr>
        <w:t>1、2021年增减挂钩项目资金1309.32万元、其中辣椒产业项目资金399.98万元（为农业农村局项目）剩余909.34万元中上缴国库500万元、支出8.7万元、支出占项目总比38.85%，支出率达不到，绩效评价差。</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在耕地数量与质量占补平衡的基础上，拆旧区的复垦的耕地的面积大于建新区占用的耕地，因此，挂钩项目的实施能增加项目区的有效耕地面积，城乡建设用地增减挂钩经济效益主要体现政府或投资者的经济效益及农户经济效益两个方面。对于政府或投资者而言其经济效益主要是获得挂钩周转指标。而对于农户，其经济效益主要体现在各种补偿费（包含：拆迁房屋及附着物的补偿费用、搬迁补助费、安置新房、复垦后的新增耕地的经济效益等）。</w:t>
      </w:r>
    </w:p>
    <w:p>
      <w:pPr>
        <w:ind w:firstLine="640"/>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 xml:space="preserve">  </w:t>
      </w:r>
    </w:p>
    <w:p>
      <w:pPr>
        <w:ind w:firstLine="640"/>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2、2019年</w:t>
      </w:r>
      <w:r>
        <w:rPr>
          <w:rFonts w:hint="eastAsia" w:ascii="方正仿宋简体" w:hAnsi="仿宋_GB2312" w:eastAsia="方正仿宋简体" w:cs="仿宋_GB2312"/>
          <w:kern w:val="0"/>
          <w:sz w:val="32"/>
          <w:szCs w:val="32"/>
          <w:lang w:val="en-US" w:eastAsia="zh-CN"/>
        </w:rPr>
        <w:t>增减挂钩项目资金291万元、支出 290.9万元、剩余0.1万元、支出占项目总比99 %。</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在耕地数量与质量占补平衡的基础上，拆旧区的复垦的耕地的面积大于建新区占用的耕地，因此，挂钩项目的实施能增加项目区的有效耕地面积，城乡建设用地增减挂钩经济效益主要体现政府或投资者的经济效益及农户经济效益两个方面。对于政府或投资者而言其经济效益主要是获得挂钩周转指标。而对于农户，其经济效益主要体现在各种补偿费（包含：拆迁房屋及附着物的补偿费用、搬迁补助费、安置新房、复垦后的新增耕地的经济效益等）。</w:t>
      </w:r>
    </w:p>
    <w:p>
      <w:pPr>
        <w:ind w:firstLine="640"/>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3、国土专项经费11万元、支出 8.10万元 。节约节约利用土地资源、保护群众合法财产,居住环境改善，有力维护我县自然资源开发利用秩序,完善自然资源工作管理，集约节约利用自然资源。</w:t>
      </w:r>
    </w:p>
    <w:p>
      <w:pPr>
        <w:numPr>
          <w:ilvl w:val="0"/>
          <w:numId w:val="0"/>
        </w:numPr>
        <w:ind w:firstLine="640" w:firstLineChars="200"/>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4、内网租赁及数据维护费6万元、支出2.64万元。推动网上办事、提高行政效率、降低行政成本、方便群众，为不动产统一登记提供数据支撑，为其他相关单位提供数据共享。</w:t>
      </w:r>
    </w:p>
    <w:p>
      <w:pPr>
        <w:numPr>
          <w:ilvl w:val="0"/>
          <w:numId w:val="0"/>
        </w:numPr>
        <w:ind w:firstLine="640" w:firstLineChars="200"/>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5、地质灾害防治资金（开展地质灾害隐患点治理工作及解决群测群防员经费）3.48万元、支出3.48万元、支出占比100%。保护群众的生命和财产安全，有效的预防和减少地质灾害的发生,保做好地质灾害预防和治理工作，保护号地质环境，改善居住环境,保护群众的生命和财产安全，有效的预防和减少地质灾害的发生。</w:t>
      </w:r>
    </w:p>
    <w:p>
      <w:pP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pPr>
    </w:p>
    <w:p>
      <w:pPr>
        <w:pStyle w:val="2"/>
        <w:rPr>
          <w:rFonts w:hint="eastAsia" w:ascii="黑体" w:hAnsi="宋体" w:eastAsia="黑体"/>
          <w:color w:val="auto"/>
          <w:sz w:val="48"/>
          <w:szCs w:val="48"/>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 xml:space="preserve">    </w:t>
      </w:r>
    </w:p>
    <w:p>
      <w:pPr>
        <w:rPr>
          <w:rFonts w:hint="eastAsia"/>
        </w:rPr>
      </w:pPr>
    </w:p>
    <w:p>
      <w:pPr>
        <w:spacing w:line="460" w:lineRule="exact"/>
        <w:jc w:val="both"/>
        <w:rPr>
          <w:rFonts w:hint="eastAsia" w:ascii="黑体" w:hAnsi="宋体" w:eastAsia="黑体"/>
          <w:color w:val="auto"/>
          <w:sz w:val="48"/>
          <w:szCs w:val="48"/>
        </w:rPr>
      </w:pPr>
    </w:p>
    <w:p>
      <w:pPr>
        <w:spacing w:line="460" w:lineRule="exact"/>
        <w:jc w:val="center"/>
        <w:rPr>
          <w:rFonts w:hint="eastAsia" w:ascii="黑体" w:hAnsi="宋体" w:eastAsia="黑体"/>
          <w:color w:val="auto"/>
          <w:sz w:val="48"/>
          <w:szCs w:val="48"/>
        </w:rPr>
      </w:pPr>
      <w:r>
        <w:rPr>
          <w:rFonts w:hint="eastAsia" w:ascii="黑体" w:hAnsi="宋体" w:eastAsia="黑体"/>
          <w:color w:val="auto"/>
          <w:sz w:val="48"/>
          <w:szCs w:val="48"/>
        </w:rPr>
        <w:t>第四部分 名词解释</w:t>
      </w:r>
    </w:p>
    <w:p>
      <w:pPr>
        <w:ind w:firstLine="640"/>
        <w:rPr>
          <w:rFonts w:hint="eastAsia" w:ascii="方正仿宋简体" w:hAnsi="仿宋_GB2312" w:eastAsia="方正仿宋简体" w:cs="仿宋_GB2312"/>
          <w:kern w:val="0"/>
          <w:sz w:val="32"/>
          <w:szCs w:val="32"/>
          <w:lang w:val="en-US" w:eastAsia="zh-CN"/>
        </w:rPr>
      </w:pPr>
    </w:p>
    <w:p>
      <w:pPr>
        <w:ind w:firstLine="640"/>
        <w:rPr>
          <w:rFonts w:hint="eastAsia" w:ascii="方正仿宋简体" w:hAnsi="仿宋_GB2312" w:eastAsia="方正仿宋简体" w:cs="仿宋_GB2312"/>
          <w:kern w:val="0"/>
          <w:sz w:val="32"/>
          <w:szCs w:val="32"/>
          <w:lang w:val="en-US" w:eastAsia="zh-CN"/>
        </w:rPr>
      </w:pPr>
    </w:p>
    <w:p>
      <w:pPr>
        <w:ind w:firstLine="640"/>
        <w:rPr>
          <w:rFonts w:hint="eastAsia" w:ascii="方正仿宋简体" w:hAnsi="仿宋_GB2312" w:eastAsia="方正仿宋简体" w:cs="仿宋_GB2312"/>
          <w:kern w:val="0"/>
          <w:sz w:val="32"/>
          <w:szCs w:val="32"/>
          <w:lang w:val="en-US" w:eastAsia="zh-CN"/>
        </w:rPr>
      </w:pPr>
    </w:p>
    <w:p>
      <w:pPr>
        <w:ind w:firstLine="640"/>
        <w:rPr>
          <w:rFonts w:hint="eastAsia" w:ascii="方正仿宋简体" w:hAnsi="仿宋_GB2312" w:eastAsia="方正仿宋简体" w:cs="仿宋_GB2312"/>
          <w:kern w:val="0"/>
          <w:sz w:val="32"/>
          <w:szCs w:val="32"/>
          <w:lang w:val="en-US" w:eastAsia="zh-CN"/>
        </w:rPr>
      </w:pPr>
    </w:p>
    <w:p>
      <w:pPr>
        <w:ind w:firstLine="640"/>
        <w:rPr>
          <w:rFonts w:hint="eastAsia" w:ascii="方正仿宋简体" w:hAnsi="仿宋_GB2312" w:eastAsia="方正仿宋简体" w:cs="仿宋_GB2312"/>
          <w:kern w:val="0"/>
          <w:sz w:val="32"/>
          <w:szCs w:val="32"/>
          <w:lang w:val="en-US" w:eastAsia="zh-CN"/>
        </w:rPr>
      </w:pPr>
    </w:p>
    <w:p>
      <w:pPr>
        <w:ind w:firstLine="640"/>
        <w:rPr>
          <w:rFonts w:hint="eastAsia" w:ascii="方正仿宋简体" w:hAnsi="仿宋_GB2312" w:eastAsia="方正仿宋简体" w:cs="仿宋_GB2312"/>
          <w:kern w:val="0"/>
          <w:sz w:val="32"/>
          <w:szCs w:val="32"/>
          <w:lang w:val="en-US" w:eastAsia="zh-CN"/>
        </w:rPr>
      </w:pPr>
    </w:p>
    <w:p>
      <w:pPr>
        <w:ind w:firstLine="640"/>
        <w:rPr>
          <w:rFonts w:hint="eastAsia" w:ascii="方正仿宋简体" w:hAnsi="仿宋_GB2312" w:eastAsia="方正仿宋简体" w:cs="仿宋_GB2312"/>
          <w:kern w:val="0"/>
          <w:sz w:val="32"/>
          <w:szCs w:val="32"/>
          <w:lang w:val="en-US" w:eastAsia="zh-CN"/>
        </w:rPr>
      </w:pPr>
    </w:p>
    <w:p>
      <w:pPr>
        <w:ind w:firstLine="640"/>
        <w:rPr>
          <w:rFonts w:hint="eastAsia" w:ascii="方正仿宋简体" w:hAnsi="仿宋_GB2312" w:eastAsia="方正仿宋简体" w:cs="仿宋_GB2312"/>
          <w:kern w:val="0"/>
          <w:sz w:val="32"/>
          <w:szCs w:val="32"/>
          <w:lang w:val="en-US" w:eastAsia="zh-CN"/>
        </w:rPr>
      </w:pPr>
    </w:p>
    <w:p>
      <w:pPr>
        <w:ind w:firstLine="640"/>
        <w:rPr>
          <w:rFonts w:hint="eastAsia" w:ascii="方正仿宋简体" w:hAnsi="仿宋_GB2312" w:eastAsia="方正仿宋简体" w:cs="仿宋_GB2312"/>
          <w:kern w:val="0"/>
          <w:sz w:val="32"/>
          <w:szCs w:val="32"/>
          <w:lang w:val="en-US" w:eastAsia="zh-CN"/>
        </w:rPr>
      </w:pPr>
      <w:bookmarkStart w:id="0" w:name="_GoBack"/>
      <w:bookmarkEnd w:id="0"/>
      <w:r>
        <w:rPr>
          <w:rFonts w:hint="eastAsia" w:ascii="方正仿宋简体" w:hAnsi="仿宋_GB2312" w:eastAsia="方正仿宋简体" w:cs="仿宋_GB2312"/>
          <w:kern w:val="0"/>
          <w:sz w:val="32"/>
          <w:szCs w:val="32"/>
          <w:lang w:val="en-US" w:eastAsia="zh-CN"/>
        </w:rPr>
        <w:t>一、财政拨款收入，指中央财政当年拨付的资金。</w:t>
      </w:r>
    </w:p>
    <w:p>
      <w:pPr>
        <w:ind w:firstLine="640"/>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kern w:val="0"/>
          <w:sz w:val="32"/>
          <w:szCs w:val="32"/>
          <w:lang w:val="en-US" w:eastAsia="zh-CN"/>
        </w:rPr>
        <w:t>二、其他收入，指上述“财政拨款收入”以外的收入，主要是按规定动用的售房收入、存款利息收入等。</w:t>
      </w:r>
    </w:p>
    <w:p>
      <w:pPr>
        <w:ind w:firstLine="640"/>
        <w:rPr>
          <w:rFonts w:hint="eastAsia" w:ascii="方正仿宋简体" w:hAnsi="仿宋_GB2312" w:eastAsia="方正仿宋简体" w:cs="仿宋_GB2312"/>
          <w:kern w:val="0"/>
          <w:sz w:val="32"/>
          <w:szCs w:val="32"/>
          <w:lang w:val="en-US" w:eastAsia="zh-CN"/>
        </w:rPr>
      </w:pPr>
      <w:r>
        <w:rPr>
          <w:rFonts w:hint="eastAsia" w:ascii="方正仿宋简体" w:hAnsi="仿宋_GB2312" w:eastAsia="方正仿宋简体" w:cs="仿宋_GB2312"/>
          <w:kern w:val="0"/>
          <w:sz w:val="32"/>
          <w:szCs w:val="32"/>
          <w:lang w:val="en-US" w:eastAsia="zh-CN"/>
        </w:rPr>
        <w:t>三、上年结转，指以前年度尚未完成、结转到本年度仍按原规定用途继续使用的资金。</w:t>
      </w:r>
    </w:p>
    <w:p>
      <w:pPr>
        <w:ind w:firstLine="640"/>
        <w:rPr>
          <w:rFonts w:hint="eastAsia" w:ascii="方正仿宋简体" w:hAnsi="仿宋_GB2312" w:eastAsia="方正仿宋简体" w:cs="仿宋_GB2312"/>
          <w:kern w:val="0"/>
          <w:sz w:val="32"/>
          <w:szCs w:val="32"/>
          <w:lang w:val="en-US" w:eastAsia="zh-CN"/>
        </w:rPr>
      </w:pPr>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仿宋"/>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FC11"/>
    <w:multiLevelType w:val="singleLevel"/>
    <w:tmpl w:val="5F1FFC11"/>
    <w:lvl w:ilvl="0" w:tentative="0">
      <w:start w:val="2"/>
      <w:numFmt w:val="chineseCounting"/>
      <w:suff w:val="nothing"/>
      <w:lvlText w:val="（%1）"/>
      <w:lvlJc w:val="left"/>
    </w:lvl>
  </w:abstractNum>
  <w:abstractNum w:abstractNumId="1">
    <w:nsid w:val="63365B9A"/>
    <w:multiLevelType w:val="singleLevel"/>
    <w:tmpl w:val="63365B9A"/>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YzBlNzU2ODQwMzU1YmIzNGVhZGEwYjdmYmI1YzkifQ=="/>
  </w:docVars>
  <w:rsids>
    <w:rsidRoot w:val="00172A27"/>
    <w:rsid w:val="008F1345"/>
    <w:rsid w:val="00CD4A07"/>
    <w:rsid w:val="00E962EA"/>
    <w:rsid w:val="044A0AA4"/>
    <w:rsid w:val="060A3A04"/>
    <w:rsid w:val="09B05375"/>
    <w:rsid w:val="09F7485D"/>
    <w:rsid w:val="0AB66469"/>
    <w:rsid w:val="0BC32363"/>
    <w:rsid w:val="0D480375"/>
    <w:rsid w:val="0D95149D"/>
    <w:rsid w:val="0E627F53"/>
    <w:rsid w:val="10001685"/>
    <w:rsid w:val="100669F7"/>
    <w:rsid w:val="11482151"/>
    <w:rsid w:val="137F793F"/>
    <w:rsid w:val="13991A7C"/>
    <w:rsid w:val="142B6A9A"/>
    <w:rsid w:val="14E17552"/>
    <w:rsid w:val="14F95D6A"/>
    <w:rsid w:val="156A7252"/>
    <w:rsid w:val="15E5727B"/>
    <w:rsid w:val="165E0C0D"/>
    <w:rsid w:val="188744BB"/>
    <w:rsid w:val="18D10AC6"/>
    <w:rsid w:val="19174FAC"/>
    <w:rsid w:val="19970C55"/>
    <w:rsid w:val="1C792B46"/>
    <w:rsid w:val="1C9F67F7"/>
    <w:rsid w:val="1CA837F5"/>
    <w:rsid w:val="1CF66089"/>
    <w:rsid w:val="1DDA502B"/>
    <w:rsid w:val="1DEE019F"/>
    <w:rsid w:val="1E0569BD"/>
    <w:rsid w:val="1E4D5DA3"/>
    <w:rsid w:val="1ECF7EB1"/>
    <w:rsid w:val="1F1D4A71"/>
    <w:rsid w:val="1F31384F"/>
    <w:rsid w:val="22E2278C"/>
    <w:rsid w:val="2433223C"/>
    <w:rsid w:val="247B4AD1"/>
    <w:rsid w:val="248F477A"/>
    <w:rsid w:val="249458D9"/>
    <w:rsid w:val="24DB3BC4"/>
    <w:rsid w:val="25A5215A"/>
    <w:rsid w:val="260A3997"/>
    <w:rsid w:val="26392CB4"/>
    <w:rsid w:val="263C340E"/>
    <w:rsid w:val="27380166"/>
    <w:rsid w:val="27A9444C"/>
    <w:rsid w:val="27AF0BE9"/>
    <w:rsid w:val="28291014"/>
    <w:rsid w:val="28622FEA"/>
    <w:rsid w:val="2ABA1949"/>
    <w:rsid w:val="2ABB00E3"/>
    <w:rsid w:val="2BD33847"/>
    <w:rsid w:val="2CC84073"/>
    <w:rsid w:val="2CD72733"/>
    <w:rsid w:val="2F3E0FE7"/>
    <w:rsid w:val="31DF69FD"/>
    <w:rsid w:val="31F03835"/>
    <w:rsid w:val="334E7080"/>
    <w:rsid w:val="344B4211"/>
    <w:rsid w:val="37F94ABA"/>
    <w:rsid w:val="3819741A"/>
    <w:rsid w:val="38F91364"/>
    <w:rsid w:val="3ACC2B93"/>
    <w:rsid w:val="3BCB7AEB"/>
    <w:rsid w:val="409D2B3D"/>
    <w:rsid w:val="411267AC"/>
    <w:rsid w:val="426E0682"/>
    <w:rsid w:val="449A4277"/>
    <w:rsid w:val="45086B2C"/>
    <w:rsid w:val="459674AC"/>
    <w:rsid w:val="466C2511"/>
    <w:rsid w:val="468976E8"/>
    <w:rsid w:val="46BA047E"/>
    <w:rsid w:val="47C20C25"/>
    <w:rsid w:val="48A27A10"/>
    <w:rsid w:val="49EF4B96"/>
    <w:rsid w:val="4AD53A8F"/>
    <w:rsid w:val="4C1F7A04"/>
    <w:rsid w:val="4E7418D9"/>
    <w:rsid w:val="506A261C"/>
    <w:rsid w:val="51253634"/>
    <w:rsid w:val="516B594E"/>
    <w:rsid w:val="52C15CD2"/>
    <w:rsid w:val="53BA39A4"/>
    <w:rsid w:val="53CE631B"/>
    <w:rsid w:val="5494611A"/>
    <w:rsid w:val="552232E0"/>
    <w:rsid w:val="56146DBF"/>
    <w:rsid w:val="56910001"/>
    <w:rsid w:val="56DA7259"/>
    <w:rsid w:val="5778511F"/>
    <w:rsid w:val="5A3C04A5"/>
    <w:rsid w:val="5A5B64E5"/>
    <w:rsid w:val="5B6A7475"/>
    <w:rsid w:val="5C263A3E"/>
    <w:rsid w:val="5CB423A8"/>
    <w:rsid w:val="5DD73105"/>
    <w:rsid w:val="5E603039"/>
    <w:rsid w:val="5FC6340C"/>
    <w:rsid w:val="60364867"/>
    <w:rsid w:val="60744B3A"/>
    <w:rsid w:val="60762039"/>
    <w:rsid w:val="61BC3E5A"/>
    <w:rsid w:val="627B79F5"/>
    <w:rsid w:val="627D0B54"/>
    <w:rsid w:val="630A499F"/>
    <w:rsid w:val="65106D65"/>
    <w:rsid w:val="66D22A78"/>
    <w:rsid w:val="677D325B"/>
    <w:rsid w:val="6814342D"/>
    <w:rsid w:val="682932DA"/>
    <w:rsid w:val="698E02D7"/>
    <w:rsid w:val="69E37659"/>
    <w:rsid w:val="6A9C7415"/>
    <w:rsid w:val="6B3E3798"/>
    <w:rsid w:val="6BA91B85"/>
    <w:rsid w:val="6BEE35C4"/>
    <w:rsid w:val="6CEE4879"/>
    <w:rsid w:val="6D136BE9"/>
    <w:rsid w:val="701A1522"/>
    <w:rsid w:val="70AB45FA"/>
    <w:rsid w:val="71DD46C2"/>
    <w:rsid w:val="72BF0BBE"/>
    <w:rsid w:val="7327625C"/>
    <w:rsid w:val="74146543"/>
    <w:rsid w:val="749D6701"/>
    <w:rsid w:val="74C03B4F"/>
    <w:rsid w:val="750016E1"/>
    <w:rsid w:val="75CC771B"/>
    <w:rsid w:val="778C3320"/>
    <w:rsid w:val="78C8637B"/>
    <w:rsid w:val="7A3E7814"/>
    <w:rsid w:val="7A5D1935"/>
    <w:rsid w:val="7AAC09B3"/>
    <w:rsid w:val="7B8B13AA"/>
    <w:rsid w:val="7C0E1E70"/>
    <w:rsid w:val="7C5B288E"/>
    <w:rsid w:val="7C955BEE"/>
    <w:rsid w:val="7CA81852"/>
    <w:rsid w:val="7E5C2118"/>
    <w:rsid w:val="7E991353"/>
    <w:rsid w:val="7FC42D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4401</Words>
  <Characters>4803</Characters>
  <Lines>0</Lines>
  <Paragraphs>0</Paragraphs>
  <TotalTime>4</TotalTime>
  <ScaleCrop>false</ScaleCrop>
  <LinksUpToDate>false</LinksUpToDate>
  <CharactersWithSpaces>5011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2022-10-12T02:31:19Z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CFFCC940CA524BD7B1FEDB537730059C</vt:lpwstr>
  </property>
</Properties>
</file>