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朗县自然资源局2021年政府信息公开</w:t>
      </w:r>
    </w:p>
    <w:p>
      <w:pPr>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工作年度报告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firstLine="0" w:firstLineChars="0"/>
        <w:jc w:val="both"/>
        <w:textAlignment w:val="auto"/>
        <w:outlineLvl w:val="9"/>
        <w:rPr>
          <w:rFonts w:hint="eastAsia" w:ascii="黑体" w:hAnsi="黑体" w:eastAsia="黑体" w:cs="黑体"/>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根据《中华人民共和国政府信息公开条例》(国务院令第711号，以下简称《条例》)以及《国务院办公厅政府信息与政务公开办公室关于印发&lt;中华人民共和国政府信息公开工作年度报告格式&gt;的通知》（国办公开办函〔2021〕30号）要求，结合我局工作实际，现将我局2021年政府信息公开工作年度报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firstLine="64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2021年10月23日，我局同自治区自然资源厅委托的四川冶金地质勘察院队对自然资源航空物探遥感中心下发图斑清单，朗县辖区内疑似历史遗留矿山图斑5个</w:t>
      </w:r>
      <w:bookmarkStart w:id="0" w:name="_GoBack"/>
      <w:r>
        <w:rPr>
          <w:rFonts w:hint="eastAsia" w:ascii="仿宋_GB2312" w:hAnsi="仿宋_GB2312" w:eastAsia="仿宋_GB2312" w:cs="仿宋_GB2312"/>
          <w:spacing w:val="-20"/>
          <w:w w:val="90"/>
          <w:sz w:val="32"/>
          <w:szCs w:val="32"/>
          <w:lang w:val="en-US" w:eastAsia="zh-CN"/>
        </w:rPr>
        <w:t>（CT5404262017000009001、CT5404262017000009002、CT54042620170000008001、CT5404262017000004001、CT5404262017000005001)</w:t>
      </w:r>
      <w:bookmarkEnd w:id="0"/>
      <w:r>
        <w:rPr>
          <w:rFonts w:hint="eastAsia" w:ascii="仿宋_GB2312" w:hAnsi="仿宋_GB2312" w:eastAsia="仿宋_GB2312" w:cs="仿宋_GB2312"/>
          <w:sz w:val="32"/>
          <w:szCs w:val="32"/>
          <w:lang w:val="en-US" w:eastAsia="zh-CN"/>
        </w:rPr>
        <w:t>进行实地核实，经核实其中位于朗县洞嘎镇扎西塘村CT5404262017000009002为历史遗留矿山图斑，图斑所在地块为废弃砂石材料点，该废弃砂石材料点于2014年底关闭，在采挖期间未办理过采矿许可证和用地手续。</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（一）主动公开情况。无主动公开情况。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（二）依申请公开情况。我局于2021年11月5日以朗县人民政府名义对洞嘎镇扎西塘村废弃砂石材料点进行历史遗留矿山生态治理修复责任主题公告。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jc w:val="both"/>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二、主动公开政府信息情况</w:t>
      </w:r>
    </w:p>
    <w:tbl>
      <w:tblPr>
        <w:tblStyle w:val="6"/>
        <w:tblW w:w="88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83"/>
        <w:gridCol w:w="1870"/>
        <w:gridCol w:w="1629"/>
        <w:gridCol w:w="1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8860" w:type="dxa"/>
            <w:gridSpan w:val="4"/>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3"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18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本年制</w:t>
            </w:r>
            <w:r>
              <w:rPr>
                <w:rFonts w:hint="eastAsia" w:ascii="宋体" w:hAnsi="宋体" w:cs="宋体"/>
                <w:color w:val="auto"/>
                <w:kern w:val="0"/>
                <w:sz w:val="20"/>
                <w:szCs w:val="20"/>
                <w:lang w:eastAsia="zh-CN"/>
              </w:rPr>
              <w:t>发件数</w:t>
            </w:r>
          </w:p>
        </w:tc>
        <w:tc>
          <w:tcPr>
            <w:tcW w:w="1629"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本年</w:t>
            </w:r>
            <w:r>
              <w:rPr>
                <w:rFonts w:hint="eastAsia" w:ascii="宋体" w:hAnsi="宋体" w:cs="宋体"/>
                <w:color w:val="auto"/>
                <w:kern w:val="0"/>
                <w:sz w:val="20"/>
                <w:szCs w:val="20"/>
                <w:lang w:eastAsia="zh-CN"/>
              </w:rPr>
              <w:t>废止件数</w:t>
            </w:r>
          </w:p>
        </w:tc>
        <w:tc>
          <w:tcPr>
            <w:tcW w:w="1978"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规章</w:t>
            </w:r>
          </w:p>
        </w:tc>
        <w:tc>
          <w:tcPr>
            <w:tcW w:w="18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629"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978"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cs="宋体"/>
                <w:color w:val="auto"/>
                <w:kern w:val="0"/>
                <w:sz w:val="20"/>
                <w:szCs w:val="20"/>
                <w:lang w:eastAsia="zh-CN"/>
              </w:rPr>
              <w:t>行政</w:t>
            </w:r>
            <w:r>
              <w:rPr>
                <w:rFonts w:hint="eastAsia" w:ascii="宋体" w:hAnsi="宋体" w:eastAsia="宋体" w:cs="宋体"/>
                <w:color w:val="auto"/>
                <w:kern w:val="0"/>
                <w:sz w:val="20"/>
                <w:szCs w:val="20"/>
              </w:rPr>
              <w:t>规范性文件</w:t>
            </w:r>
          </w:p>
        </w:tc>
        <w:tc>
          <w:tcPr>
            <w:tcW w:w="1870" w:type="dxa"/>
            <w:tcBorders>
              <w:top w:val="nil"/>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629" w:type="dxa"/>
            <w:tcBorders>
              <w:top w:val="nil"/>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978" w:type="dxa"/>
            <w:tcBorders>
              <w:top w:val="nil"/>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8860" w:type="dxa"/>
            <w:gridSpan w:val="4"/>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5477" w:type="dxa"/>
            <w:gridSpan w:val="3"/>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cs="宋体"/>
                <w:color w:val="auto"/>
                <w:kern w:val="0"/>
                <w:sz w:val="20"/>
                <w:szCs w:val="20"/>
                <w:lang w:eastAsia="zh-CN"/>
              </w:rPr>
              <w:t>本年</w:t>
            </w: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行政许可</w:t>
            </w:r>
          </w:p>
        </w:tc>
        <w:tc>
          <w:tcPr>
            <w:tcW w:w="5477" w:type="dxa"/>
            <w:gridSpan w:val="3"/>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8860" w:type="dxa"/>
            <w:gridSpan w:val="4"/>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5477" w:type="dxa"/>
            <w:gridSpan w:val="3"/>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rightChars="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cs="宋体"/>
                <w:color w:val="auto"/>
                <w:kern w:val="0"/>
                <w:sz w:val="20"/>
                <w:szCs w:val="20"/>
                <w:lang w:eastAsia="zh-CN"/>
              </w:rPr>
              <w:t>本年</w:t>
            </w: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行政处罚</w:t>
            </w:r>
          </w:p>
        </w:tc>
        <w:tc>
          <w:tcPr>
            <w:tcW w:w="5477" w:type="dxa"/>
            <w:gridSpan w:val="3"/>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行政强制</w:t>
            </w:r>
          </w:p>
        </w:tc>
        <w:tc>
          <w:tcPr>
            <w:tcW w:w="5477" w:type="dxa"/>
            <w:gridSpan w:val="3"/>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8860" w:type="dxa"/>
            <w:gridSpan w:val="4"/>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5477" w:type="dxa"/>
            <w:gridSpan w:val="3"/>
            <w:tcBorders>
              <w:top w:val="nil"/>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cs="宋体"/>
                <w:color w:val="auto"/>
                <w:kern w:val="0"/>
                <w:sz w:val="20"/>
                <w:szCs w:val="20"/>
                <w:lang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行政事业性收费</w:t>
            </w:r>
          </w:p>
        </w:tc>
        <w:tc>
          <w:tcPr>
            <w:tcW w:w="5477" w:type="dxa"/>
            <w:gridSpan w:val="3"/>
            <w:tcBorders>
              <w:top w:val="nil"/>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bl>
    <w:p>
      <w:pPr>
        <w:widowControl w:val="0"/>
        <w:numPr>
          <w:ilvl w:val="0"/>
          <w:numId w:val="0"/>
        </w:numPr>
        <w:wordWrap/>
        <w:adjustRightInd/>
        <w:snapToGrid/>
        <w:spacing w:before="0" w:after="0" w:line="576" w:lineRule="exact"/>
        <w:ind w:left="0" w:leftChars="0" w:right="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三、收到和处理政府信息公开申请情况</w:t>
      </w:r>
    </w:p>
    <w:tbl>
      <w:tblPr>
        <w:tblStyle w:val="6"/>
        <w:tblW w:w="89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804"/>
        <w:gridCol w:w="2401"/>
        <w:gridCol w:w="732"/>
        <w:gridCol w:w="675"/>
        <w:gridCol w:w="770"/>
        <w:gridCol w:w="892"/>
        <w:gridCol w:w="921"/>
        <w:gridCol w:w="650"/>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3668" w:type="dxa"/>
            <w:gridSpan w:val="3"/>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（本列数据的勾稽关系为：第一项加第二项之和，等于第三项加第四项之和）</w:t>
            </w:r>
          </w:p>
        </w:tc>
        <w:tc>
          <w:tcPr>
            <w:tcW w:w="5331" w:type="dxa"/>
            <w:gridSpan w:val="7"/>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3668" w:type="dxa"/>
            <w:gridSpan w:val="3"/>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732"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自然人</w:t>
            </w:r>
          </w:p>
        </w:tc>
        <w:tc>
          <w:tcPr>
            <w:tcW w:w="3908" w:type="dxa"/>
            <w:gridSpan w:val="5"/>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法人或其他组织</w:t>
            </w:r>
          </w:p>
        </w:tc>
        <w:tc>
          <w:tcPr>
            <w:tcW w:w="691"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3668" w:type="dxa"/>
            <w:gridSpan w:val="3"/>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73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商业企业</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科研机构</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社会公益组织</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法律服务机构</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其他</w:t>
            </w:r>
          </w:p>
        </w:tc>
        <w:tc>
          <w:tcPr>
            <w:tcW w:w="69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3668"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一、本年新收政府信息公开申请数量</w:t>
            </w:r>
          </w:p>
        </w:tc>
        <w:tc>
          <w:tcPr>
            <w:tcW w:w="7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3668"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二、上年结转政府信息公开申请数量</w:t>
            </w:r>
          </w:p>
        </w:tc>
        <w:tc>
          <w:tcPr>
            <w:tcW w:w="7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463"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三、本年度办理结果</w:t>
            </w:r>
          </w:p>
        </w:tc>
        <w:tc>
          <w:tcPr>
            <w:tcW w:w="3205"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（一）予以公开</w:t>
            </w:r>
          </w:p>
        </w:tc>
        <w:tc>
          <w:tcPr>
            <w:tcW w:w="7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3205"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（二）部分公开（区分处理的，只计这一情形，不计其他情形）</w:t>
            </w:r>
          </w:p>
        </w:tc>
        <w:tc>
          <w:tcPr>
            <w:tcW w:w="7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（三）不予公开</w:t>
            </w:r>
          </w:p>
        </w:tc>
        <w:tc>
          <w:tcPr>
            <w:tcW w:w="240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1.属于国家秘密</w:t>
            </w:r>
          </w:p>
        </w:tc>
        <w:tc>
          <w:tcPr>
            <w:tcW w:w="7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2.其他法律行政法规禁止公开</w:t>
            </w:r>
          </w:p>
        </w:tc>
        <w:tc>
          <w:tcPr>
            <w:tcW w:w="7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3.危及“三安全一稳定”</w:t>
            </w:r>
          </w:p>
        </w:tc>
        <w:tc>
          <w:tcPr>
            <w:tcW w:w="7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4.保护第三方合法权益</w:t>
            </w:r>
          </w:p>
        </w:tc>
        <w:tc>
          <w:tcPr>
            <w:tcW w:w="7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5.属于三类内部事务信息</w:t>
            </w:r>
          </w:p>
        </w:tc>
        <w:tc>
          <w:tcPr>
            <w:tcW w:w="7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6.属于四类过程性信息</w:t>
            </w:r>
          </w:p>
        </w:tc>
        <w:tc>
          <w:tcPr>
            <w:tcW w:w="7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7.属于行政执法案卷</w:t>
            </w:r>
          </w:p>
        </w:tc>
        <w:tc>
          <w:tcPr>
            <w:tcW w:w="7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8.属于行政查询事项</w:t>
            </w:r>
          </w:p>
        </w:tc>
        <w:tc>
          <w:tcPr>
            <w:tcW w:w="7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（四）无法提供</w:t>
            </w:r>
          </w:p>
        </w:tc>
        <w:tc>
          <w:tcPr>
            <w:tcW w:w="240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1.本机关不掌握相关政府信息</w:t>
            </w:r>
          </w:p>
        </w:tc>
        <w:tc>
          <w:tcPr>
            <w:tcW w:w="7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2.没有现成信息需要另行制作</w:t>
            </w:r>
          </w:p>
        </w:tc>
        <w:tc>
          <w:tcPr>
            <w:tcW w:w="7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3.补正后申请内容仍不明确</w:t>
            </w:r>
          </w:p>
        </w:tc>
        <w:tc>
          <w:tcPr>
            <w:tcW w:w="7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（五）不予处理</w:t>
            </w:r>
          </w:p>
        </w:tc>
        <w:tc>
          <w:tcPr>
            <w:tcW w:w="240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1.信访举报投诉类申请</w:t>
            </w:r>
          </w:p>
        </w:tc>
        <w:tc>
          <w:tcPr>
            <w:tcW w:w="7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2.重复申请</w:t>
            </w:r>
          </w:p>
        </w:tc>
        <w:tc>
          <w:tcPr>
            <w:tcW w:w="7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3.要求提供公开出版物</w:t>
            </w:r>
          </w:p>
        </w:tc>
        <w:tc>
          <w:tcPr>
            <w:tcW w:w="7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4.无正当理由大量反复申请</w:t>
            </w:r>
          </w:p>
        </w:tc>
        <w:tc>
          <w:tcPr>
            <w:tcW w:w="7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sz w:val="21"/>
                <w:szCs w:val="21"/>
              </w:rPr>
              <w:t>5.要求行政机关确认或重新出具已获取信息</w:t>
            </w:r>
          </w:p>
        </w:tc>
        <w:tc>
          <w:tcPr>
            <w:tcW w:w="7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6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4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（六）其他处理</w:t>
            </w:r>
          </w:p>
        </w:tc>
        <w:tc>
          <w:tcPr>
            <w:tcW w:w="240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lang w:val="en-US" w:eastAsia="zh-CN"/>
              </w:rPr>
              <w:t>1.申请人无正当理由逾期不补正、行政机关不再处理其政府信息公开申请</w:t>
            </w:r>
          </w:p>
        </w:tc>
        <w:tc>
          <w:tcPr>
            <w:tcW w:w="7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6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4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lang w:val="en-US" w:eastAsia="zh-CN"/>
              </w:rPr>
              <w:t>2.申请人逾期未按收费通知要求缴纳费用、行政机关不再处理其政府信息公开申请</w:t>
            </w:r>
          </w:p>
        </w:tc>
        <w:tc>
          <w:tcPr>
            <w:tcW w:w="7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6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lang w:val="en-US" w:eastAsia="zh-CN"/>
              </w:rPr>
              <w:t>3.其他</w:t>
            </w:r>
          </w:p>
        </w:tc>
        <w:tc>
          <w:tcPr>
            <w:tcW w:w="7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6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3205"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（七）总计</w:t>
            </w:r>
          </w:p>
        </w:tc>
        <w:tc>
          <w:tcPr>
            <w:tcW w:w="7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3668"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四、结转下年度继续办理</w:t>
            </w:r>
          </w:p>
        </w:tc>
        <w:tc>
          <w:tcPr>
            <w:tcW w:w="7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bl>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6"/>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行政复议</w:t>
            </w:r>
          </w:p>
        </w:tc>
        <w:tc>
          <w:tcPr>
            <w:tcW w:w="5997" w:type="dxa"/>
            <w:gridSpan w:val="10"/>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4" w:type="dxa"/>
            <w:vMerge w:val="restart"/>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4"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4"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58"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总计</w:t>
            </w:r>
          </w:p>
        </w:tc>
        <w:tc>
          <w:tcPr>
            <w:tcW w:w="2970" w:type="dxa"/>
            <w:gridSpan w:val="5"/>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未经复议直接起诉</w:t>
            </w:r>
          </w:p>
        </w:tc>
        <w:tc>
          <w:tcPr>
            <w:tcW w:w="3027" w:type="dxa"/>
            <w:gridSpan w:val="5"/>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58"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55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其他结果</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both"/>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58"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p>
        </w:tc>
        <w:tc>
          <w:tcPr>
            <w:tcW w:w="55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0000FF"/>
                <w:kern w:val="0"/>
                <w:szCs w:val="21"/>
                <w:lang w:val="en-US" w:eastAsia="zh-CN"/>
              </w:rPr>
            </w:pPr>
            <w:r>
              <w:rPr>
                <w:rFonts w:hint="eastAsia" w:ascii="宋体" w:hAnsi="宋体" w:cs="宋体"/>
                <w:color w:val="0000FF"/>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both"/>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p>
        </w:tc>
      </w:tr>
    </w:tbl>
    <w:p>
      <w:pPr>
        <w:widowControl/>
        <w:numPr>
          <w:ilvl w:val="0"/>
          <w:numId w:val="0"/>
        </w:numPr>
        <w:spacing w:line="576" w:lineRule="exact"/>
        <w:rPr>
          <w:rFonts w:hint="eastAsia" w:ascii="黑体" w:hAnsi="黑体" w:eastAsia="黑体" w:cs="黑体"/>
          <w:b w:val="0"/>
          <w:bCs w:val="0"/>
          <w:color w:val="333333"/>
          <w:kern w:val="0"/>
          <w:sz w:val="32"/>
          <w:szCs w:val="32"/>
          <w:lang w:val="en-US" w:eastAsia="zh-CN"/>
        </w:rPr>
      </w:pPr>
      <w:r>
        <w:rPr>
          <w:rFonts w:hint="eastAsia" w:ascii="黑体" w:hAnsi="黑体" w:eastAsia="黑体" w:cs="黑体"/>
          <w:b w:val="0"/>
          <w:bCs w:val="0"/>
          <w:color w:val="333333"/>
          <w:kern w:val="0"/>
          <w:sz w:val="32"/>
          <w:szCs w:val="32"/>
          <w:lang w:val="en-US" w:eastAsia="zh-CN"/>
        </w:rPr>
        <w:t>五、</w:t>
      </w:r>
      <w:r>
        <w:rPr>
          <w:rFonts w:hint="eastAsia" w:ascii="黑体" w:hAnsi="黑体" w:eastAsia="黑体" w:cs="黑体"/>
          <w:b w:val="0"/>
          <w:bCs w:val="0"/>
          <w:color w:val="333333"/>
          <w:kern w:val="0"/>
          <w:sz w:val="32"/>
          <w:szCs w:val="32"/>
        </w:rPr>
        <w:t>存在的主要问题及改进情况</w:t>
      </w:r>
    </w:p>
    <w:p>
      <w:pPr>
        <w:widowControl/>
        <w:numPr>
          <w:ilvl w:val="0"/>
          <w:numId w:val="0"/>
        </w:numPr>
        <w:wordWrap/>
        <w:adjustRightInd/>
        <w:snapToGrid/>
        <w:spacing w:before="0" w:after="0" w:line="578" w:lineRule="exact"/>
        <w:ind w:right="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color w:val="333333"/>
          <w:kern w:val="0"/>
          <w:sz w:val="32"/>
          <w:szCs w:val="32"/>
          <w:lang w:val="en-US" w:eastAsia="zh-CN"/>
        </w:rPr>
        <w:t xml:space="preserve">  </w:t>
      </w:r>
      <w:r>
        <w:rPr>
          <w:rFonts w:hint="eastAsia" w:ascii="仿宋_GB2312" w:hAnsi="仿宋_GB2312" w:eastAsia="仿宋_GB2312" w:cs="仿宋_GB2312"/>
          <w:sz w:val="32"/>
          <w:szCs w:val="32"/>
          <w:lang w:val="en-US" w:eastAsia="zh-CN"/>
        </w:rPr>
        <w:t>（一）存在的问题。全局干部职工对于《政府信息公开条例》的精神领会不到位，公开意识不强。</w:t>
      </w:r>
    </w:p>
    <w:p>
      <w:pPr>
        <w:widowControl/>
        <w:numPr>
          <w:ilvl w:val="0"/>
          <w:numId w:val="0"/>
        </w:numPr>
        <w:wordWrap/>
        <w:adjustRightInd/>
        <w:snapToGrid/>
        <w:spacing w:before="0" w:after="0" w:line="578" w:lineRule="exact"/>
        <w:ind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（二）下步打算。一是深入学习贯彻《中华人民共和国政府信息公开条例》，高质量推进政务公开工作；二是围绕自然资源重点领域信息，加大主动公开力度，加强信息上报，做到应公开尽公开。</w:t>
      </w:r>
    </w:p>
    <w:p>
      <w:pPr>
        <w:widowControl/>
        <w:numPr>
          <w:ilvl w:val="0"/>
          <w:numId w:val="0"/>
        </w:numPr>
        <w:wordWrap/>
        <w:adjustRightInd/>
        <w:snapToGrid/>
        <w:spacing w:before="0" w:after="0" w:line="578" w:lineRule="exact"/>
        <w:ind w:right="0"/>
        <w:jc w:val="both"/>
        <w:textAlignment w:val="auto"/>
        <w:outlineLvl w:val="9"/>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lang w:val="en-US" w:eastAsia="zh-CN"/>
        </w:rPr>
        <w:t xml:space="preserve">    六、</w:t>
      </w:r>
      <w:r>
        <w:rPr>
          <w:rFonts w:hint="eastAsia" w:ascii="黑体" w:hAnsi="黑体" w:eastAsia="黑体" w:cs="黑体"/>
          <w:b w:val="0"/>
          <w:bCs w:val="0"/>
          <w:color w:val="333333"/>
          <w:kern w:val="0"/>
          <w:sz w:val="32"/>
          <w:szCs w:val="32"/>
        </w:rPr>
        <w:t>其他需要报告的事项</w:t>
      </w: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sectPr>
      <w:headerReference r:id="rId3" w:type="default"/>
      <w:footerReference r:id="rId4" w:type="default"/>
      <w:pgMar w:top="2154" w:right="1474" w:bottom="1134" w:left="1531" w:header="720" w:footer="720" w:gutter="0"/>
      <w:pgBorders>
        <w:top w:val="none" w:sz="0" w:space="0"/>
        <w:left w:val="none" w:sz="0" w:space="0"/>
        <w:bottom w:val="none" w:sz="0" w:space="0"/>
        <w:right w:val="none" w:sz="0" w:space="0"/>
      </w:pgBorders>
      <w:pgNumType w:fmt="numberInDash"/>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QGZR60BAABK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s8d6cPscakh4Bpabj2Q84c/RGdWfSgwOYvyiEY&#10;xz4fzr2VQyIiP1oulssKQwJj0wVx2MvzADHdSW9JNhoKOLzSU77/HNMpdUrJ1Zy/1cagn9fG/eVA&#10;zOxhmfuJY7bSsBlG4hvfHlBPj3NvqMPFpMTcO2xrXpHJgMnYTMYugN52ZYdyvRiudglJFG65wgl2&#10;LIwDK+rG5cob8fpesl5+gfUz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UBmUetAQAASgMA&#10;AA4AAAAAAAAAAQAgAAAAHgEAAGRycy9lMm9Eb2MueG1sUEsFBgAAAAAGAAYAWQEAAD0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E1D03"/>
    <w:rsid w:val="40CA0901"/>
    <w:rsid w:val="4E9856C2"/>
    <w:rsid w:val="53EFC7C2"/>
    <w:rsid w:val="6699799E"/>
    <w:rsid w:val="6DEB92A9"/>
    <w:rsid w:val="BA7B23C6"/>
    <w:rsid w:val="BFC220F6"/>
    <w:rsid w:val="FFF28724"/>
  </w:rsids>
  <m:mathPr>
    <m:lMargin m:val="0"/>
    <m:rMargin m:val="0"/>
    <m:wrapIndent m:val="1440"/>
    <m:brkBin m:val="before"/>
    <m:brkBinSub m:val="--"/>
    <m:defJc m:val="centerGroup"/>
    <m:intLim m:val="subSup"/>
    <m:naryLim m:val="undOvr"/>
    <m:smallFrac m:val="0"/>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0"/>
    <w:rPr>
      <w:rFonts w:ascii="Times New Roman" w:hAnsi="Times New Roman" w:cs="Times New Roman"/>
      <w:szCs w:val="20"/>
    </w:rPr>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5">
    <w:name w:val="page number"/>
    <w:basedOn w:val="4"/>
    <w:unhideWhenUsed/>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2020-12-17T15:30:00Z</dcterms:created>
  <dc:creator>xxk</dc:creator>
  <cp:lastModifiedBy>Administrator</cp:lastModifiedBy>
  <cp:lastPrinted>2020-12-26T18:16:00Z</cp:lastPrinted>
  <dcterms:modified xsi:type="dcterms:W3CDTF">2022-01-07T10:49:35Z</dcterms:modified>
  <dc:title>XXX2020年政府信息公开工作年度报告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